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5BC3" w14:textId="77777777" w:rsidR="00CB53CF" w:rsidRDefault="00CB53CF" w:rsidP="00F42C98">
      <w:pPr>
        <w:ind w:left="720" w:hanging="720"/>
        <w:jc w:val="both"/>
        <w:rPr>
          <w:rFonts w:ascii="LindeDaxOffice" w:hAnsi="LindeDaxOffice"/>
          <w:b/>
          <w:sz w:val="22"/>
          <w:szCs w:val="22"/>
        </w:rPr>
      </w:pPr>
    </w:p>
    <w:p w14:paraId="4C976D22" w14:textId="77777777" w:rsidR="005E6847" w:rsidRPr="00CB53CF" w:rsidRDefault="008F7A55" w:rsidP="008F7A55">
      <w:pPr>
        <w:jc w:val="both"/>
        <w:rPr>
          <w:rFonts w:ascii="LindeDaxOffice" w:hAnsi="LindeDaxOffice" w:cs="Tms Rmn"/>
          <w:b/>
          <w:color w:val="000000"/>
          <w:sz w:val="22"/>
          <w:szCs w:val="22"/>
          <w:u w:val="single"/>
        </w:rPr>
      </w:pPr>
      <w:r w:rsidRPr="00CB53CF">
        <w:rPr>
          <w:rFonts w:ascii="LindeDaxOffice" w:hAnsi="LindeDaxOffice"/>
          <w:b/>
          <w:sz w:val="22"/>
          <w:szCs w:val="22"/>
          <w:u w:val="single"/>
        </w:rPr>
        <w:t>CODE OF BUSINESS CONDUCT AND ETHICS FOR MEMBERS OF THE BOARD OF DIRECTORS</w:t>
      </w:r>
    </w:p>
    <w:p w14:paraId="68428EB6" w14:textId="77777777" w:rsidR="004928D5" w:rsidRDefault="005E6847" w:rsidP="00F42C98">
      <w:pPr>
        <w:jc w:val="both"/>
        <w:rPr>
          <w:rFonts w:ascii="LindeDaxOffice" w:hAnsi="LindeDaxOffice"/>
          <w:b/>
          <w:sz w:val="22"/>
          <w:szCs w:val="22"/>
          <w:u w:val="single"/>
        </w:rPr>
      </w:pPr>
      <w:r w:rsidRPr="00912E14">
        <w:rPr>
          <w:rFonts w:ascii="LindeDaxOffice" w:hAnsi="LindeDaxOffice"/>
          <w:b/>
          <w:sz w:val="22"/>
          <w:szCs w:val="22"/>
          <w:u w:val="single"/>
        </w:rPr>
        <w:t xml:space="preserve">  </w:t>
      </w:r>
    </w:p>
    <w:p w14:paraId="5C69C265" w14:textId="77777777" w:rsidR="00D8038E" w:rsidRPr="00912E14" w:rsidRDefault="00D8038E" w:rsidP="00F42C98">
      <w:pPr>
        <w:jc w:val="both"/>
        <w:rPr>
          <w:rFonts w:ascii="LindeDaxOffice" w:hAnsi="LindeDaxOffice"/>
          <w:b/>
          <w:sz w:val="22"/>
          <w:szCs w:val="22"/>
          <w:u w:val="single"/>
        </w:rPr>
      </w:pPr>
    </w:p>
    <w:p w14:paraId="00ABEBFE" w14:textId="77777777" w:rsidR="003B272A" w:rsidRPr="00D411E3" w:rsidRDefault="003B272A" w:rsidP="003B272A">
      <w:pPr>
        <w:autoSpaceDE w:val="0"/>
        <w:autoSpaceDN w:val="0"/>
        <w:adjustRightInd w:val="0"/>
        <w:jc w:val="both"/>
        <w:rPr>
          <w:rFonts w:ascii="LindeDaxOffice" w:hAnsi="LindeDaxOffice" w:cs="LindeDaxOffice"/>
          <w:b/>
          <w:bCs/>
        </w:rPr>
      </w:pPr>
      <w:r w:rsidRPr="00D411E3">
        <w:rPr>
          <w:rFonts w:ascii="LindeDaxOffice" w:hAnsi="LindeDaxOffice" w:cs="LindeDaxOffice"/>
          <w:b/>
          <w:bCs/>
        </w:rPr>
        <w:t>1. Purpose</w:t>
      </w:r>
    </w:p>
    <w:p w14:paraId="5E8918DB" w14:textId="77777777" w:rsidR="003B272A" w:rsidRPr="00D411E3" w:rsidRDefault="003B272A" w:rsidP="003B272A">
      <w:pPr>
        <w:autoSpaceDE w:val="0"/>
        <w:autoSpaceDN w:val="0"/>
        <w:adjustRightInd w:val="0"/>
        <w:jc w:val="both"/>
        <w:rPr>
          <w:rFonts w:ascii="LindeDaxOffice" w:hAnsi="LindeDaxOffice" w:cs="LindeDaxOffice"/>
          <w:b/>
          <w:bCs/>
        </w:rPr>
      </w:pPr>
    </w:p>
    <w:p w14:paraId="4C8B827E" w14:textId="77777777" w:rsidR="003B272A" w:rsidRPr="00D411E3" w:rsidRDefault="003B272A" w:rsidP="003B272A">
      <w:pPr>
        <w:pStyle w:val="ListParagraph"/>
        <w:numPr>
          <w:ilvl w:val="0"/>
          <w:numId w:val="42"/>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 xml:space="preserve">The Code of Conduct for the Directors sets out the standards based on the guiding principles underpinned in the Code of Ethics of The Linde Group. </w:t>
      </w:r>
      <w:r w:rsidRPr="00D411E3">
        <w:rPr>
          <w:rFonts w:ascii="LindeDaxOffice" w:hAnsi="LindeDaxOffice" w:cs="Arial"/>
          <w:sz w:val="24"/>
          <w:szCs w:val="24"/>
        </w:rPr>
        <w:t>This Code applies to the Directors of the Company, both Executive and Non-Executive</w:t>
      </w:r>
      <w:r w:rsidRPr="00D411E3">
        <w:rPr>
          <w:rFonts w:ascii="LindeDaxOffice" w:hAnsi="LindeDaxOffice" w:cs="LindeDaxOffice"/>
          <w:sz w:val="24"/>
          <w:szCs w:val="24"/>
        </w:rPr>
        <w:t xml:space="preserve"> in their actions on behalf of the Company.</w:t>
      </w:r>
    </w:p>
    <w:p w14:paraId="1F1A0786" w14:textId="77777777" w:rsidR="003B272A" w:rsidRPr="00D411E3" w:rsidRDefault="003B272A" w:rsidP="003B272A">
      <w:pPr>
        <w:autoSpaceDE w:val="0"/>
        <w:autoSpaceDN w:val="0"/>
        <w:adjustRightInd w:val="0"/>
        <w:jc w:val="both"/>
        <w:rPr>
          <w:rFonts w:ascii="LindeDaxOffice" w:hAnsi="LindeDaxOffice" w:cs="LindeDaxOffice"/>
        </w:rPr>
      </w:pPr>
    </w:p>
    <w:p w14:paraId="449F5ACC" w14:textId="77777777" w:rsidR="003B272A" w:rsidRPr="00D411E3" w:rsidRDefault="003B272A" w:rsidP="003B272A">
      <w:pPr>
        <w:autoSpaceDE w:val="0"/>
        <w:autoSpaceDN w:val="0"/>
        <w:adjustRightInd w:val="0"/>
        <w:jc w:val="both"/>
        <w:rPr>
          <w:rFonts w:ascii="LindeDaxOffice" w:hAnsi="LindeDaxOffice" w:cs="LindeDaxOffice"/>
          <w:b/>
          <w:bCs/>
        </w:rPr>
      </w:pPr>
      <w:r w:rsidRPr="00D411E3">
        <w:rPr>
          <w:rFonts w:ascii="LindeDaxOffice" w:hAnsi="LindeDaxOffice" w:cs="LindeDaxOffice"/>
          <w:b/>
          <w:bCs/>
        </w:rPr>
        <w:t>2. Policy</w:t>
      </w:r>
    </w:p>
    <w:p w14:paraId="306B2A03" w14:textId="77777777" w:rsidR="003B272A" w:rsidRPr="00D411E3" w:rsidRDefault="003B272A" w:rsidP="003B272A">
      <w:pPr>
        <w:autoSpaceDE w:val="0"/>
        <w:autoSpaceDN w:val="0"/>
        <w:adjustRightInd w:val="0"/>
        <w:jc w:val="both"/>
        <w:rPr>
          <w:rFonts w:ascii="LindeDaxOffice" w:hAnsi="LindeDaxOffice" w:cs="LindeDaxOffice"/>
          <w:b/>
          <w:bCs/>
        </w:rPr>
      </w:pPr>
    </w:p>
    <w:p w14:paraId="1A379021" w14:textId="77777777" w:rsidR="003B272A" w:rsidRPr="00D411E3" w:rsidRDefault="003B272A" w:rsidP="003B272A">
      <w:pPr>
        <w:autoSpaceDE w:val="0"/>
        <w:autoSpaceDN w:val="0"/>
        <w:adjustRightInd w:val="0"/>
        <w:jc w:val="both"/>
        <w:rPr>
          <w:rFonts w:ascii="LindeDaxOffice" w:hAnsi="LindeDaxOffice" w:cs="LindeDaxOffice"/>
        </w:rPr>
      </w:pPr>
      <w:r w:rsidRPr="00D411E3">
        <w:rPr>
          <w:rFonts w:ascii="LindeDaxOffice" w:hAnsi="LindeDaxOffice" w:cs="LindeDaxOffice"/>
        </w:rPr>
        <w:t>The Directors must wherever applicable:</w:t>
      </w:r>
    </w:p>
    <w:p w14:paraId="60A11010"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ensure that business relationships are founded on trust and conduct the company’s business fairly and honestly in a professional manner.</w:t>
      </w:r>
    </w:p>
    <w:p w14:paraId="1DF219FE"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 xml:space="preserve">contribute to good corporate governance by increasing transparency and accountability to its shareholders </w:t>
      </w:r>
      <w:proofErr w:type="gramStart"/>
      <w:r w:rsidRPr="00D411E3">
        <w:rPr>
          <w:rFonts w:ascii="LindeDaxOffice" w:hAnsi="LindeDaxOffice" w:cs="LindeDaxOffice"/>
          <w:sz w:val="24"/>
          <w:szCs w:val="24"/>
        </w:rPr>
        <w:t>in particular and</w:t>
      </w:r>
      <w:proofErr w:type="gramEnd"/>
      <w:r w:rsidRPr="00D411E3">
        <w:rPr>
          <w:rFonts w:ascii="LindeDaxOffice" w:hAnsi="LindeDaxOffice" w:cs="LindeDaxOffice"/>
          <w:sz w:val="24"/>
          <w:szCs w:val="24"/>
        </w:rPr>
        <w:t xml:space="preserve"> other stakeholders in general.</w:t>
      </w:r>
    </w:p>
    <w:p w14:paraId="6BDBF97E"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 xml:space="preserve">seek to understand the needs of the customers, suppliers and other third parties and will avoid/prohibit practices that are false, </w:t>
      </w:r>
      <w:proofErr w:type="gramStart"/>
      <w:r w:rsidRPr="00D411E3">
        <w:rPr>
          <w:rFonts w:ascii="LindeDaxOffice" w:hAnsi="LindeDaxOffice" w:cs="LindeDaxOffice"/>
          <w:sz w:val="24"/>
          <w:szCs w:val="24"/>
        </w:rPr>
        <w:t>misleading</w:t>
      </w:r>
      <w:proofErr w:type="gramEnd"/>
      <w:r w:rsidRPr="00D411E3">
        <w:rPr>
          <w:rFonts w:ascii="LindeDaxOffice" w:hAnsi="LindeDaxOffice" w:cs="LindeDaxOffice"/>
          <w:sz w:val="24"/>
          <w:szCs w:val="24"/>
        </w:rPr>
        <w:t xml:space="preserve"> or deceptive.</w:t>
      </w:r>
    </w:p>
    <w:p w14:paraId="70FF36E7"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 xml:space="preserve">make efforts to ensure that financial reporting is accurate, </w:t>
      </w:r>
      <w:proofErr w:type="gramStart"/>
      <w:r w:rsidRPr="00D411E3">
        <w:rPr>
          <w:rFonts w:ascii="LindeDaxOffice" w:hAnsi="LindeDaxOffice" w:cs="LindeDaxOffice"/>
          <w:sz w:val="24"/>
          <w:szCs w:val="24"/>
        </w:rPr>
        <w:t>honest</w:t>
      </w:r>
      <w:proofErr w:type="gramEnd"/>
      <w:r w:rsidRPr="00D411E3">
        <w:rPr>
          <w:rFonts w:ascii="LindeDaxOffice" w:hAnsi="LindeDaxOffice" w:cs="LindeDaxOffice"/>
          <w:sz w:val="24"/>
          <w:szCs w:val="24"/>
        </w:rPr>
        <w:t xml:space="preserve"> and timely and all members of the public have equal access to the same honest and accurate information.</w:t>
      </w:r>
    </w:p>
    <w:p w14:paraId="09EA3DEC"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become familiar and comply with legal requirements and Company’s policies and procedures.</w:t>
      </w:r>
    </w:p>
    <w:p w14:paraId="7A563FE7"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avoid actual or potential conflicts of interests with the Company, or the appearance thereof, in all the transactions.</w:t>
      </w:r>
    </w:p>
    <w:p w14:paraId="59DE7176"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act with due care and diligence in a manner to enhance the reputation of the Company.</w:t>
      </w:r>
    </w:p>
    <w:p w14:paraId="45B38F1D"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LindeDaxOffice"/>
          <w:sz w:val="24"/>
          <w:szCs w:val="24"/>
        </w:rPr>
        <w:t>comply with Code for prevention of insider trading in the shares of the Company and protect Linde Bangladesh’s confidential information, which they have in their possession.</w:t>
      </w:r>
    </w:p>
    <w:p w14:paraId="14861DCF" w14:textId="77777777" w:rsidR="003B272A" w:rsidRPr="00D411E3" w:rsidRDefault="003B272A" w:rsidP="003B272A">
      <w:pPr>
        <w:pStyle w:val="ListParagraph"/>
        <w:numPr>
          <w:ilvl w:val="0"/>
          <w:numId w:val="43"/>
        </w:numPr>
        <w:autoSpaceDE w:val="0"/>
        <w:autoSpaceDN w:val="0"/>
        <w:adjustRightInd w:val="0"/>
        <w:contextualSpacing/>
        <w:jc w:val="both"/>
        <w:rPr>
          <w:rFonts w:ascii="LindeDaxOffice" w:hAnsi="LindeDaxOffice" w:cs="LindeDaxOffice"/>
          <w:sz w:val="24"/>
          <w:szCs w:val="24"/>
        </w:rPr>
      </w:pPr>
      <w:r w:rsidRPr="00D411E3">
        <w:rPr>
          <w:rFonts w:ascii="LindeDaxOffice" w:hAnsi="LindeDaxOffice" w:cs="Arial"/>
          <w:sz w:val="24"/>
          <w:szCs w:val="24"/>
        </w:rPr>
        <w:t xml:space="preserve">immediately report to the Company any violation of laws or ethical principles or Company policies that come to his/her attention, and cooperate fully in any audit, enquiry, </w:t>
      </w:r>
      <w:proofErr w:type="gramStart"/>
      <w:r w:rsidRPr="00D411E3">
        <w:rPr>
          <w:rFonts w:ascii="LindeDaxOffice" w:hAnsi="LindeDaxOffice" w:cs="Arial"/>
          <w:sz w:val="24"/>
          <w:szCs w:val="24"/>
        </w:rPr>
        <w:t>review</w:t>
      </w:r>
      <w:proofErr w:type="gramEnd"/>
      <w:r w:rsidRPr="00D411E3">
        <w:rPr>
          <w:rFonts w:ascii="LindeDaxOffice" w:hAnsi="LindeDaxOffice" w:cs="Arial"/>
          <w:sz w:val="24"/>
          <w:szCs w:val="24"/>
        </w:rPr>
        <w:t xml:space="preserve"> or investigation by the Company. </w:t>
      </w:r>
    </w:p>
    <w:p w14:paraId="7832529B" w14:textId="77777777" w:rsidR="003B272A" w:rsidRPr="00D411E3" w:rsidRDefault="003B272A" w:rsidP="003B272A">
      <w:pPr>
        <w:ind w:left="360"/>
        <w:jc w:val="both"/>
        <w:rPr>
          <w:rFonts w:ascii="LindeDaxOffice" w:hAnsi="LindeDaxOffice" w:cs="Arial"/>
          <w:b/>
        </w:rPr>
      </w:pPr>
    </w:p>
    <w:p w14:paraId="3D97FE4B" w14:textId="0E2DE3D5" w:rsidR="003B272A" w:rsidRDefault="003B272A" w:rsidP="003B272A">
      <w:pPr>
        <w:jc w:val="both"/>
        <w:rPr>
          <w:rFonts w:ascii="LindeDaxOffice" w:hAnsi="LindeDaxOffice" w:cs="Arial"/>
          <w:b/>
        </w:rPr>
      </w:pPr>
      <w:r w:rsidRPr="00D411E3">
        <w:rPr>
          <w:rFonts w:ascii="LindeDaxOffice" w:hAnsi="LindeDaxOffice" w:cs="Arial"/>
          <w:b/>
        </w:rPr>
        <w:t>3. DUTIES</w:t>
      </w:r>
    </w:p>
    <w:p w14:paraId="118A16C2" w14:textId="77777777" w:rsidR="001B216D" w:rsidRPr="00D411E3" w:rsidRDefault="001B216D" w:rsidP="003B272A">
      <w:pPr>
        <w:jc w:val="both"/>
        <w:rPr>
          <w:rFonts w:ascii="LindeDaxOffice" w:hAnsi="LindeDaxOffice" w:cs="Arial"/>
          <w:b/>
        </w:rPr>
      </w:pPr>
    </w:p>
    <w:p w14:paraId="0B035200" w14:textId="309698AD" w:rsidR="003B272A" w:rsidRDefault="003B272A" w:rsidP="003B272A">
      <w:pPr>
        <w:jc w:val="both"/>
        <w:rPr>
          <w:rFonts w:ascii="LindeDaxOffice" w:hAnsi="LindeDaxOffice" w:cs="Arial"/>
        </w:rPr>
      </w:pPr>
      <w:r w:rsidRPr="009B5888">
        <w:rPr>
          <w:rFonts w:ascii="LindeDaxOffice" w:hAnsi="LindeDaxOffice" w:cs="Arial"/>
        </w:rPr>
        <w:t>Subject to the applicable laws, rules and regulations as amended time to time, the Directors shall perform the following duties:</w:t>
      </w:r>
    </w:p>
    <w:p w14:paraId="1C6BEA9C" w14:textId="77777777" w:rsidR="003B272A" w:rsidRPr="009B5888" w:rsidRDefault="003B272A" w:rsidP="003B272A">
      <w:pPr>
        <w:jc w:val="both"/>
        <w:rPr>
          <w:rFonts w:ascii="LindeDaxOffice" w:hAnsi="LindeDaxOffice" w:cs="Arial"/>
        </w:rPr>
      </w:pPr>
    </w:p>
    <w:p w14:paraId="196D79CF" w14:textId="45579B4A" w:rsidR="003B272A" w:rsidRDefault="003B272A" w:rsidP="003B272A">
      <w:pPr>
        <w:ind w:left="360"/>
        <w:jc w:val="both"/>
        <w:rPr>
          <w:rFonts w:ascii="LindeDaxOffice" w:hAnsi="LindeDaxOffice" w:cs="Arial"/>
          <w:b/>
        </w:rPr>
      </w:pPr>
      <w:r w:rsidRPr="00D411E3">
        <w:rPr>
          <w:rFonts w:ascii="LindeDaxOffice" w:hAnsi="LindeDaxOffice" w:cs="Arial"/>
          <w:b/>
        </w:rPr>
        <w:t>3.1 Fiduciary Duty</w:t>
      </w:r>
    </w:p>
    <w:p w14:paraId="4CED42A5" w14:textId="77777777" w:rsidR="006F25DD" w:rsidRPr="00D411E3" w:rsidRDefault="006F25DD" w:rsidP="003B272A">
      <w:pPr>
        <w:ind w:left="360"/>
        <w:jc w:val="both"/>
        <w:rPr>
          <w:rFonts w:ascii="LindeDaxOffice" w:hAnsi="LindeDaxOffice" w:cs="Arial"/>
          <w:b/>
        </w:rPr>
      </w:pPr>
    </w:p>
    <w:p w14:paraId="17E6A955" w14:textId="73141A44" w:rsidR="003B272A" w:rsidRDefault="003B272A" w:rsidP="003B272A">
      <w:pPr>
        <w:ind w:left="360"/>
        <w:jc w:val="both"/>
        <w:rPr>
          <w:rFonts w:ascii="LindeDaxOffice" w:hAnsi="LindeDaxOffice" w:cs="Arial"/>
        </w:rPr>
      </w:pPr>
      <w:r w:rsidRPr="00D411E3">
        <w:rPr>
          <w:rFonts w:ascii="LindeDaxOffice" w:hAnsi="LindeDaxOffice" w:cs="Arial"/>
        </w:rPr>
        <w:t xml:space="preserve">Every Director must act in good faith in his/her dealings with or on behalf of the Company and exercise the powers and fulfill the duties of his/her office honestly, which would be </w:t>
      </w:r>
      <w:r w:rsidRPr="00D411E3">
        <w:rPr>
          <w:rFonts w:ascii="LindeDaxOffice" w:hAnsi="LindeDaxOffice" w:cs="Arial"/>
        </w:rPr>
        <w:lastRenderedPageBreak/>
        <w:t>the interest of all shareholders and other stakeholders, present and future. Every Director also must exercise his/her powers in the Company’s interest and only for or purpose for which they are given.</w:t>
      </w:r>
    </w:p>
    <w:p w14:paraId="65409A5D" w14:textId="77777777" w:rsidR="003B272A" w:rsidRPr="00D411E3" w:rsidRDefault="003B272A" w:rsidP="003B272A">
      <w:pPr>
        <w:ind w:left="360"/>
        <w:jc w:val="both"/>
        <w:rPr>
          <w:rFonts w:ascii="LindeDaxOffice" w:hAnsi="LindeDaxOffice" w:cs="Arial"/>
        </w:rPr>
      </w:pPr>
    </w:p>
    <w:p w14:paraId="06FADF06" w14:textId="7A6EBEC5" w:rsidR="003B272A" w:rsidRDefault="003B272A" w:rsidP="003B272A">
      <w:pPr>
        <w:ind w:left="360"/>
        <w:jc w:val="both"/>
        <w:rPr>
          <w:rFonts w:ascii="LindeDaxOffice" w:hAnsi="LindeDaxOffice" w:cs="Arial"/>
        </w:rPr>
      </w:pPr>
      <w:r w:rsidRPr="00D411E3">
        <w:rPr>
          <w:rFonts w:ascii="LindeDaxOffice" w:hAnsi="LindeDaxOffice" w:cs="Arial"/>
          <w:b/>
        </w:rPr>
        <w:t>3.2 Conflict of interest-</w:t>
      </w:r>
      <w:r w:rsidRPr="00D411E3">
        <w:rPr>
          <w:rFonts w:ascii="LindeDaxOffice" w:hAnsi="LindeDaxOffice" w:cs="Arial"/>
        </w:rPr>
        <w:t xml:space="preserve"> A director must not put himself/herself in apposition where there is an actual or potential conflict between his/her duty to the company and his/her personal interest. A declaration to this effect will be required to be signed off.</w:t>
      </w:r>
    </w:p>
    <w:p w14:paraId="0599755E" w14:textId="77777777" w:rsidR="003B272A" w:rsidRPr="00D411E3" w:rsidRDefault="003B272A" w:rsidP="003B272A">
      <w:pPr>
        <w:ind w:left="360"/>
        <w:jc w:val="both"/>
        <w:rPr>
          <w:rFonts w:ascii="LindeDaxOffice" w:hAnsi="LindeDaxOffice" w:cs="Arial"/>
        </w:rPr>
      </w:pPr>
    </w:p>
    <w:p w14:paraId="614AA50C" w14:textId="6B385CE8" w:rsidR="003B272A" w:rsidRDefault="003B272A" w:rsidP="003B272A">
      <w:pPr>
        <w:ind w:left="360"/>
        <w:jc w:val="both"/>
        <w:rPr>
          <w:rFonts w:ascii="LindeDaxOffice" w:hAnsi="LindeDaxOffice" w:cs="Arial"/>
        </w:rPr>
      </w:pPr>
      <w:r w:rsidRPr="00D411E3">
        <w:rPr>
          <w:rFonts w:ascii="LindeDaxOffice" w:hAnsi="LindeDaxOffice" w:cs="Arial"/>
          <w:b/>
        </w:rPr>
        <w:t>3.3 Use of Company property-</w:t>
      </w:r>
      <w:r w:rsidRPr="00D411E3">
        <w:rPr>
          <w:rFonts w:ascii="LindeDaxOffice" w:hAnsi="LindeDaxOffice" w:cs="Arial"/>
        </w:rPr>
        <w:t xml:space="preserve"> All Director is regarded as a trustee of the Company’s property (which would include information belonging to and about the Company and opportunities of which the Company might take advantage). Accordingly, s/he will be answerable if s/he knowingly participates in a misapplication of Company property or knows or ought to have known of the misapplication. Any profit arising in such circumstances must be accounted for to the Company by the Directors.</w:t>
      </w:r>
    </w:p>
    <w:p w14:paraId="6C510E3D" w14:textId="77777777" w:rsidR="003B272A" w:rsidRPr="00D411E3" w:rsidRDefault="003B272A" w:rsidP="003B272A">
      <w:pPr>
        <w:ind w:left="360"/>
        <w:jc w:val="both"/>
        <w:rPr>
          <w:rFonts w:ascii="LindeDaxOffice" w:hAnsi="LindeDaxOffice" w:cs="Arial"/>
        </w:rPr>
      </w:pPr>
    </w:p>
    <w:p w14:paraId="07AA9C39" w14:textId="7C9C31F8" w:rsidR="003B272A" w:rsidRDefault="003B272A" w:rsidP="003B272A">
      <w:pPr>
        <w:ind w:left="360"/>
        <w:jc w:val="both"/>
        <w:rPr>
          <w:rFonts w:ascii="LindeDaxOffice" w:hAnsi="LindeDaxOffice" w:cs="Arial"/>
        </w:rPr>
      </w:pPr>
      <w:r w:rsidRPr="00D411E3">
        <w:rPr>
          <w:rFonts w:ascii="LindeDaxOffice" w:hAnsi="LindeDaxOffice" w:cs="Arial"/>
          <w:b/>
        </w:rPr>
        <w:t>3.4 Gift policy-</w:t>
      </w:r>
      <w:r w:rsidRPr="00D411E3">
        <w:rPr>
          <w:rFonts w:ascii="LindeDaxOffice" w:hAnsi="LindeDaxOffice" w:cs="Arial"/>
        </w:rPr>
        <w:t xml:space="preserve"> The Company has an approved Gift Policy and Directors should adhere to and the follow the policy in its true spirit with respect to the giving and accepting of gifts.</w:t>
      </w:r>
    </w:p>
    <w:p w14:paraId="0F35E205" w14:textId="77777777" w:rsidR="003B272A" w:rsidRPr="00D411E3" w:rsidRDefault="003B272A" w:rsidP="003B272A">
      <w:pPr>
        <w:ind w:left="360"/>
        <w:jc w:val="both"/>
        <w:rPr>
          <w:rFonts w:ascii="LindeDaxOffice" w:hAnsi="LindeDaxOffice" w:cs="Arial"/>
        </w:rPr>
      </w:pPr>
    </w:p>
    <w:p w14:paraId="46603A78" w14:textId="77777777" w:rsidR="003B272A" w:rsidRDefault="003B272A" w:rsidP="003B272A">
      <w:pPr>
        <w:ind w:left="360"/>
        <w:jc w:val="both"/>
        <w:rPr>
          <w:rFonts w:ascii="LindeDaxOffice" w:hAnsi="LindeDaxOffice" w:cs="Arial"/>
          <w:b/>
        </w:rPr>
      </w:pPr>
      <w:r w:rsidRPr="00D411E3">
        <w:rPr>
          <w:rFonts w:ascii="LindeDaxOffice" w:hAnsi="LindeDaxOffice" w:cs="Arial"/>
          <w:b/>
        </w:rPr>
        <w:t xml:space="preserve">3.5 Duty of skill and due care </w:t>
      </w:r>
    </w:p>
    <w:p w14:paraId="3737E889" w14:textId="212C9516" w:rsidR="003B272A" w:rsidRPr="00D411E3" w:rsidRDefault="003B272A" w:rsidP="003B272A">
      <w:pPr>
        <w:ind w:left="360"/>
        <w:jc w:val="both"/>
        <w:rPr>
          <w:rFonts w:ascii="LindeDaxOffice" w:hAnsi="LindeDaxOffice" w:cs="Arial"/>
          <w:b/>
        </w:rPr>
      </w:pPr>
      <w:r w:rsidRPr="00D411E3">
        <w:rPr>
          <w:rFonts w:ascii="LindeDaxOffice" w:hAnsi="LindeDaxOffice" w:cs="Arial"/>
          <w:b/>
        </w:rPr>
        <w:t xml:space="preserve"> </w:t>
      </w:r>
    </w:p>
    <w:p w14:paraId="76E0A197" w14:textId="0DB85F9B" w:rsidR="003B272A" w:rsidRDefault="003B272A" w:rsidP="003B272A">
      <w:pPr>
        <w:ind w:left="360"/>
        <w:jc w:val="both"/>
        <w:rPr>
          <w:rFonts w:ascii="LindeDaxOffice" w:hAnsi="LindeDaxOffice" w:cs="Arial"/>
        </w:rPr>
      </w:pPr>
      <w:r w:rsidRPr="00D411E3">
        <w:rPr>
          <w:rFonts w:ascii="LindeDaxOffice" w:hAnsi="LindeDaxOffice" w:cs="Arial"/>
        </w:rPr>
        <w:t xml:space="preserve">The fiduciary duty imposes on each Directors, an obligation to do nothing which conflicts with the Company’s interest. When a </w:t>
      </w:r>
      <w:proofErr w:type="gramStart"/>
      <w:r w:rsidRPr="00D411E3">
        <w:rPr>
          <w:rFonts w:ascii="LindeDaxOffice" w:hAnsi="LindeDaxOffice" w:cs="Arial"/>
        </w:rPr>
        <w:t>Director</w:t>
      </w:r>
      <w:proofErr w:type="gramEnd"/>
      <w:r w:rsidRPr="00D411E3">
        <w:rPr>
          <w:rFonts w:ascii="LindeDaxOffice" w:hAnsi="LindeDaxOffice" w:cs="Arial"/>
        </w:rPr>
        <w:t xml:space="preserve"> is acting in the Company’s interest, s/he is expected to exercise whatever skill s/he possess with reasonable care.</w:t>
      </w:r>
    </w:p>
    <w:p w14:paraId="753869F7" w14:textId="77777777" w:rsidR="00B912F6" w:rsidRPr="00D411E3" w:rsidRDefault="00B912F6" w:rsidP="003B272A">
      <w:pPr>
        <w:ind w:left="360"/>
        <w:jc w:val="both"/>
        <w:rPr>
          <w:rFonts w:ascii="LindeDaxOffice" w:hAnsi="LindeDaxOffice" w:cs="Arial"/>
        </w:rPr>
      </w:pPr>
    </w:p>
    <w:p w14:paraId="22A4052F" w14:textId="7E29A89C" w:rsidR="003B272A" w:rsidRDefault="003B272A" w:rsidP="003B272A">
      <w:pPr>
        <w:ind w:left="360"/>
        <w:jc w:val="both"/>
        <w:rPr>
          <w:rFonts w:ascii="LindeDaxOffice" w:hAnsi="LindeDaxOffice" w:cs="Arial"/>
        </w:rPr>
      </w:pPr>
      <w:r w:rsidRPr="00D411E3">
        <w:rPr>
          <w:rFonts w:ascii="LindeDaxOffice" w:hAnsi="LindeDaxOffice" w:cs="Arial"/>
        </w:rPr>
        <w:t xml:space="preserve">A director is expected to display the general knowledge, skill and experience the s/he actually </w:t>
      </w:r>
      <w:proofErr w:type="gramStart"/>
      <w:r w:rsidRPr="00D411E3">
        <w:rPr>
          <w:rFonts w:ascii="LindeDaxOffice" w:hAnsi="LindeDaxOffice" w:cs="Arial"/>
        </w:rPr>
        <w:t>has</w:t>
      </w:r>
      <w:proofErr w:type="gramEnd"/>
      <w:r w:rsidRPr="00D411E3">
        <w:rPr>
          <w:rFonts w:ascii="LindeDaxOffice" w:hAnsi="LindeDaxOffice" w:cs="Arial"/>
        </w:rPr>
        <w:t xml:space="preserve"> and which might reasonably be expected of someone carrying out his/her function within that Company</w:t>
      </w:r>
      <w:r w:rsidR="00917407">
        <w:rPr>
          <w:rFonts w:ascii="LindeDaxOffice" w:hAnsi="LindeDaxOffice" w:cs="Arial"/>
        </w:rPr>
        <w:t>.</w:t>
      </w:r>
    </w:p>
    <w:p w14:paraId="1F3661FC" w14:textId="77777777" w:rsidR="00917407" w:rsidRPr="00D411E3" w:rsidRDefault="00917407" w:rsidP="003B272A">
      <w:pPr>
        <w:ind w:left="360"/>
        <w:jc w:val="both"/>
        <w:rPr>
          <w:rFonts w:ascii="LindeDaxOffice" w:hAnsi="LindeDaxOffice" w:cs="Arial"/>
        </w:rPr>
      </w:pPr>
    </w:p>
    <w:p w14:paraId="0967A223" w14:textId="74AFE063" w:rsidR="003B272A" w:rsidRDefault="003B272A" w:rsidP="003B272A">
      <w:pPr>
        <w:ind w:left="360"/>
        <w:jc w:val="both"/>
        <w:rPr>
          <w:rFonts w:ascii="LindeDaxOffice" w:hAnsi="LindeDaxOffice" w:cs="Arial"/>
        </w:rPr>
      </w:pPr>
      <w:r w:rsidRPr="00D411E3">
        <w:rPr>
          <w:rFonts w:ascii="LindeDaxOffice" w:hAnsi="LindeDaxOffice" w:cs="Arial"/>
        </w:rPr>
        <w:t xml:space="preserve">Each Director must attend diligently to the affairs of the Company. </w:t>
      </w:r>
      <w:r w:rsidRPr="00616328">
        <w:rPr>
          <w:rFonts w:ascii="LindeDaxOffice" w:hAnsi="LindeDaxOffice" w:cs="Arial"/>
        </w:rPr>
        <w:t>Given the day-to-day involvement of executive directors in the company's operations, the executive directors' degree of diligence is high.</w:t>
      </w:r>
    </w:p>
    <w:p w14:paraId="1A402B28" w14:textId="77777777" w:rsidR="003B272A" w:rsidRPr="00D411E3" w:rsidRDefault="003B272A" w:rsidP="003B272A">
      <w:pPr>
        <w:ind w:left="360"/>
        <w:jc w:val="both"/>
        <w:rPr>
          <w:rFonts w:ascii="LindeDaxOffice" w:hAnsi="LindeDaxOffice" w:cs="Arial"/>
        </w:rPr>
      </w:pPr>
    </w:p>
    <w:p w14:paraId="67C3C5D2" w14:textId="334DDCE6" w:rsidR="003B272A" w:rsidRDefault="003B272A" w:rsidP="003B272A">
      <w:pPr>
        <w:ind w:firstLine="360"/>
        <w:jc w:val="both"/>
        <w:rPr>
          <w:rFonts w:ascii="LindeDaxOffice" w:hAnsi="LindeDaxOffice" w:cs="Arial"/>
          <w:b/>
        </w:rPr>
      </w:pPr>
      <w:r w:rsidRPr="00D411E3">
        <w:rPr>
          <w:rFonts w:ascii="LindeDaxOffice" w:hAnsi="LindeDaxOffice" w:cs="Arial"/>
          <w:b/>
        </w:rPr>
        <w:t>3.6</w:t>
      </w:r>
      <w:r w:rsidRPr="00D411E3">
        <w:rPr>
          <w:rFonts w:ascii="LindeDaxOffice" w:hAnsi="LindeDaxOffice" w:cs="Arial"/>
        </w:rPr>
        <w:t xml:space="preserve"> </w:t>
      </w:r>
      <w:r w:rsidRPr="00D411E3">
        <w:rPr>
          <w:rFonts w:ascii="LindeDaxOffice" w:hAnsi="LindeDaxOffice" w:cs="Arial"/>
          <w:b/>
        </w:rPr>
        <w:t>Confidential information</w:t>
      </w:r>
    </w:p>
    <w:p w14:paraId="4D202258" w14:textId="77777777" w:rsidR="00C270A9" w:rsidRPr="00D411E3" w:rsidRDefault="00C270A9" w:rsidP="003B272A">
      <w:pPr>
        <w:ind w:firstLine="360"/>
        <w:jc w:val="both"/>
        <w:rPr>
          <w:rFonts w:ascii="LindeDaxOffice" w:hAnsi="LindeDaxOffice" w:cs="Arial"/>
          <w:b/>
        </w:rPr>
      </w:pPr>
    </w:p>
    <w:p w14:paraId="5C88F077" w14:textId="10460C77" w:rsidR="003B272A" w:rsidRDefault="003B272A" w:rsidP="003B272A">
      <w:pPr>
        <w:ind w:left="360"/>
        <w:jc w:val="both"/>
        <w:rPr>
          <w:rFonts w:ascii="LindeDaxOffice" w:hAnsi="LindeDaxOffice" w:cs="LindeDaxOffice"/>
        </w:rPr>
      </w:pPr>
      <w:r w:rsidRPr="00D411E3">
        <w:rPr>
          <w:rFonts w:ascii="LindeDaxOffice" w:hAnsi="LindeDaxOffice" w:cs="Arial"/>
        </w:rPr>
        <w:t xml:space="preserve">The Directors of the Company must </w:t>
      </w:r>
      <w:r w:rsidRPr="00D411E3">
        <w:rPr>
          <w:rFonts w:ascii="LindeDaxOffice" w:hAnsi="LindeDaxOffice" w:cs="LindeDaxOffice"/>
        </w:rPr>
        <w:t>not disclose confidential information, including commercial secrets, technologies, advertising and sales promotion plans, unpublished price sensitive information, unless such disclosure is expressly approved by the Board or required by law.</w:t>
      </w:r>
    </w:p>
    <w:p w14:paraId="6A58DBB6" w14:textId="77777777" w:rsidR="00B912F6" w:rsidRDefault="00B912F6" w:rsidP="003B272A">
      <w:pPr>
        <w:ind w:left="360"/>
        <w:jc w:val="both"/>
        <w:rPr>
          <w:rFonts w:ascii="LindeDaxOffice" w:hAnsi="LindeDaxOffice" w:cs="LindeDaxOffice"/>
        </w:rPr>
      </w:pPr>
    </w:p>
    <w:p w14:paraId="0C7DE3A5" w14:textId="54C80337" w:rsidR="003B272A" w:rsidRPr="00080E4B" w:rsidRDefault="007538EB" w:rsidP="003B272A">
      <w:pPr>
        <w:ind w:left="360"/>
        <w:jc w:val="both"/>
        <w:rPr>
          <w:rFonts w:ascii="LindeDaxOffice" w:hAnsi="LindeDaxOffice" w:cs="Arial"/>
        </w:rPr>
      </w:pPr>
      <w:r w:rsidRPr="007538EB">
        <w:rPr>
          <w:rFonts w:ascii="LindeDaxOffice" w:hAnsi="LindeDaxOffice" w:cs="Arial"/>
        </w:rPr>
        <w:t>The duty of confidentiality includes</w:t>
      </w:r>
      <w:r>
        <w:rPr>
          <w:rFonts w:ascii="LindeDaxOffice" w:hAnsi="LindeDaxOffice" w:cs="Arial"/>
        </w:rPr>
        <w:t xml:space="preserve"> a</w:t>
      </w:r>
      <w:r w:rsidR="003B272A" w:rsidRPr="00080E4B">
        <w:rPr>
          <w:rFonts w:ascii="LindeDaxOffice" w:hAnsi="LindeDaxOffice" w:cs="Arial"/>
        </w:rPr>
        <w:t>ny business information pertaining to the Company which is not generally known including but not limited to financial results, business strategies, proposed shareholders benefits, details privy to them being part of various Committees of the Company etc. which needs to be maintained in a Confidential information for this purpose.</w:t>
      </w:r>
    </w:p>
    <w:p w14:paraId="7910298F" w14:textId="77777777" w:rsidR="003B272A" w:rsidRPr="00D411E3" w:rsidRDefault="003B272A" w:rsidP="003B272A">
      <w:pPr>
        <w:ind w:left="360"/>
        <w:jc w:val="both"/>
        <w:rPr>
          <w:rFonts w:ascii="LindeDaxOffice" w:hAnsi="LindeDaxOffice" w:cs="Arial"/>
        </w:rPr>
      </w:pPr>
    </w:p>
    <w:p w14:paraId="5492DF52" w14:textId="7C174390" w:rsidR="003B272A" w:rsidRDefault="003B272A" w:rsidP="003B272A">
      <w:pPr>
        <w:ind w:left="360"/>
        <w:jc w:val="both"/>
        <w:rPr>
          <w:rFonts w:ascii="LindeDaxOffice" w:hAnsi="LindeDaxOffice" w:cs="Arial"/>
        </w:rPr>
      </w:pPr>
      <w:r w:rsidRPr="00D411E3">
        <w:rPr>
          <w:rFonts w:ascii="LindeDaxOffice" w:hAnsi="LindeDaxOffice" w:cs="Arial"/>
        </w:rPr>
        <w:lastRenderedPageBreak/>
        <w:t>The overbearing duty of good faith also finds expression in the rule that a Director shall not disclose the Company’s secret or confidential information which comes into his/her possession.</w:t>
      </w:r>
    </w:p>
    <w:p w14:paraId="2387EBD1" w14:textId="77777777" w:rsidR="003B272A" w:rsidRPr="00D411E3" w:rsidRDefault="003B272A" w:rsidP="003B272A">
      <w:pPr>
        <w:ind w:left="360"/>
        <w:jc w:val="both"/>
        <w:rPr>
          <w:rFonts w:ascii="LindeDaxOffice" w:hAnsi="LindeDaxOffice" w:cs="Arial"/>
        </w:rPr>
      </w:pPr>
    </w:p>
    <w:p w14:paraId="218E3757" w14:textId="306E782F" w:rsidR="003B272A" w:rsidRDefault="003B272A" w:rsidP="003B272A">
      <w:pPr>
        <w:ind w:firstLine="360"/>
        <w:jc w:val="both"/>
        <w:rPr>
          <w:rFonts w:ascii="LindeDaxOffice" w:hAnsi="LindeDaxOffice" w:cs="Arial"/>
          <w:b/>
        </w:rPr>
      </w:pPr>
      <w:r w:rsidRPr="00D411E3">
        <w:rPr>
          <w:rFonts w:ascii="LindeDaxOffice" w:hAnsi="LindeDaxOffice" w:cs="Arial"/>
          <w:b/>
        </w:rPr>
        <w:t xml:space="preserve">3.7 Compliance with laws, </w:t>
      </w:r>
      <w:proofErr w:type="gramStart"/>
      <w:r w:rsidRPr="00D411E3">
        <w:rPr>
          <w:rFonts w:ascii="LindeDaxOffice" w:hAnsi="LindeDaxOffice" w:cs="Arial"/>
          <w:b/>
        </w:rPr>
        <w:t>rules</w:t>
      </w:r>
      <w:proofErr w:type="gramEnd"/>
      <w:r w:rsidRPr="00D411E3">
        <w:rPr>
          <w:rFonts w:ascii="LindeDaxOffice" w:hAnsi="LindeDaxOffice" w:cs="Arial"/>
          <w:b/>
        </w:rPr>
        <w:t xml:space="preserve"> and regulation; fair dealing.</w:t>
      </w:r>
    </w:p>
    <w:p w14:paraId="190572F3" w14:textId="77777777" w:rsidR="003B272A" w:rsidRPr="00D411E3" w:rsidRDefault="003B272A" w:rsidP="003B272A">
      <w:pPr>
        <w:ind w:firstLine="360"/>
        <w:jc w:val="both"/>
        <w:rPr>
          <w:rFonts w:ascii="LindeDaxOffice" w:hAnsi="LindeDaxOffice" w:cs="Arial"/>
        </w:rPr>
      </w:pPr>
    </w:p>
    <w:p w14:paraId="67EDC351" w14:textId="6DF1D4F1" w:rsidR="003B272A" w:rsidRDefault="003B272A" w:rsidP="003B272A">
      <w:pPr>
        <w:ind w:left="360"/>
        <w:jc w:val="both"/>
        <w:rPr>
          <w:rFonts w:ascii="LindeDaxOffice" w:hAnsi="LindeDaxOffice" w:cs="Arial"/>
        </w:rPr>
      </w:pPr>
      <w:r w:rsidRPr="00D411E3">
        <w:rPr>
          <w:rFonts w:ascii="LindeDaxOffice" w:hAnsi="LindeDaxOffice" w:cs="Arial"/>
        </w:rPr>
        <w:t xml:space="preserve">Directors shall comply, and oversee compliance by employees, </w:t>
      </w:r>
      <w:proofErr w:type="gramStart"/>
      <w:r w:rsidRPr="00D411E3">
        <w:rPr>
          <w:rFonts w:ascii="LindeDaxOffice" w:hAnsi="LindeDaxOffice" w:cs="Arial"/>
        </w:rPr>
        <w:t>officers</w:t>
      </w:r>
      <w:proofErr w:type="gramEnd"/>
      <w:r w:rsidRPr="00D411E3">
        <w:rPr>
          <w:rFonts w:ascii="LindeDaxOffice" w:hAnsi="LindeDaxOffice" w:cs="Arial"/>
        </w:rPr>
        <w:t xml:space="preserve"> and other Directors, with laws, rules and regulations applicable to the company, including Securities and Exchange Commission (Prohibition of Insider Trading) Regulation, 1995. The Directors will follow the act, ordinance, rules, and regulations, directives and orders of Bangladesh Securities and Exchange Commission and Dhaka Stock Exchange for dealing in the securities of the Company.</w:t>
      </w:r>
    </w:p>
    <w:p w14:paraId="71831D1B" w14:textId="77777777" w:rsidR="00B912F6" w:rsidRPr="00D411E3" w:rsidRDefault="00B912F6" w:rsidP="003B272A">
      <w:pPr>
        <w:ind w:left="360"/>
        <w:jc w:val="both"/>
        <w:rPr>
          <w:rFonts w:ascii="LindeDaxOffice" w:hAnsi="LindeDaxOffice" w:cs="Arial"/>
        </w:rPr>
      </w:pPr>
    </w:p>
    <w:p w14:paraId="276AFBE7" w14:textId="01179FE2" w:rsidR="003B272A" w:rsidRDefault="003B272A" w:rsidP="003B272A">
      <w:pPr>
        <w:ind w:left="360"/>
        <w:jc w:val="both"/>
        <w:rPr>
          <w:rFonts w:ascii="LindeDaxOffice" w:hAnsi="LindeDaxOffice" w:cs="Arial"/>
        </w:rPr>
      </w:pPr>
      <w:r w:rsidRPr="00D411E3">
        <w:rPr>
          <w:rFonts w:ascii="LindeDaxOffice" w:hAnsi="LindeDaxOffice" w:cs="Arial"/>
        </w:rPr>
        <w:t xml:space="preserve">Directors shall oversee fair dealing by employees and officers with the Company’s customers, suppliers, </w:t>
      </w:r>
      <w:proofErr w:type="gramStart"/>
      <w:r w:rsidRPr="00D411E3">
        <w:rPr>
          <w:rFonts w:ascii="LindeDaxOffice" w:hAnsi="LindeDaxOffice" w:cs="Arial"/>
        </w:rPr>
        <w:t>competitors</w:t>
      </w:r>
      <w:proofErr w:type="gramEnd"/>
      <w:r w:rsidRPr="00D411E3">
        <w:rPr>
          <w:rFonts w:ascii="LindeDaxOffice" w:hAnsi="LindeDaxOffice" w:cs="Arial"/>
        </w:rPr>
        <w:t xml:space="preserve"> and employees.</w:t>
      </w:r>
    </w:p>
    <w:p w14:paraId="025D5F25" w14:textId="77777777" w:rsidR="003B272A" w:rsidRPr="00D411E3" w:rsidRDefault="003B272A" w:rsidP="003B272A">
      <w:pPr>
        <w:ind w:left="360"/>
        <w:jc w:val="both"/>
        <w:rPr>
          <w:rFonts w:ascii="LindeDaxOffice" w:hAnsi="LindeDaxOffice" w:cs="Arial"/>
        </w:rPr>
      </w:pPr>
    </w:p>
    <w:p w14:paraId="4E4EA1F6" w14:textId="5317D134" w:rsidR="003B272A" w:rsidRDefault="003B272A" w:rsidP="003B272A">
      <w:pPr>
        <w:ind w:firstLine="360"/>
        <w:jc w:val="both"/>
        <w:rPr>
          <w:rFonts w:ascii="LindeDaxOffice" w:hAnsi="LindeDaxOffice" w:cs="Arial"/>
          <w:b/>
        </w:rPr>
      </w:pPr>
      <w:r w:rsidRPr="00D411E3">
        <w:rPr>
          <w:rFonts w:ascii="LindeDaxOffice" w:hAnsi="LindeDaxOffice" w:cs="Arial"/>
          <w:b/>
        </w:rPr>
        <w:t>3.8</w:t>
      </w:r>
      <w:r w:rsidRPr="00D411E3">
        <w:rPr>
          <w:rFonts w:ascii="LindeDaxOffice" w:hAnsi="LindeDaxOffice" w:cs="Arial"/>
        </w:rPr>
        <w:t xml:space="preserve"> </w:t>
      </w:r>
      <w:r w:rsidRPr="00D411E3">
        <w:rPr>
          <w:rFonts w:ascii="LindeDaxOffice" w:hAnsi="LindeDaxOffice" w:cs="Arial"/>
          <w:b/>
        </w:rPr>
        <w:t>Encouraging the reporting of any illegal or unethical behavior.</w:t>
      </w:r>
    </w:p>
    <w:p w14:paraId="53C19729" w14:textId="77777777" w:rsidR="003B272A" w:rsidRPr="00D411E3" w:rsidRDefault="003B272A" w:rsidP="003B272A">
      <w:pPr>
        <w:ind w:firstLine="360"/>
        <w:jc w:val="both"/>
        <w:rPr>
          <w:rFonts w:ascii="LindeDaxOffice" w:hAnsi="LindeDaxOffice" w:cs="Arial"/>
        </w:rPr>
      </w:pPr>
    </w:p>
    <w:p w14:paraId="39A83A6D" w14:textId="44D0D444" w:rsidR="003B272A" w:rsidRDefault="003B272A" w:rsidP="003B272A">
      <w:pPr>
        <w:ind w:left="360"/>
        <w:jc w:val="both"/>
        <w:rPr>
          <w:rFonts w:ascii="LindeDaxOffice" w:hAnsi="LindeDaxOffice" w:cs="Arial"/>
        </w:rPr>
      </w:pPr>
      <w:r w:rsidRPr="00D411E3">
        <w:rPr>
          <w:rFonts w:ascii="LindeDaxOffice" w:hAnsi="LindeDaxOffice" w:cs="Arial"/>
        </w:rPr>
        <w:t>Directors should promote ethical behavior and take steps to ensure the Company: (a) encourages employees to talk to supervisor, managers and other appropriate personnel when in doubt about the best course of actions in a particular situation; (b) encourages employees to report violation of laws, rules, regulations or the Company’s Employee Handbook/Employee Code of Conduct to appropriate personnel; and (c) informs employees that the company will not allow retaliation for reports made in good faith.</w:t>
      </w:r>
    </w:p>
    <w:p w14:paraId="1A6BFC6A" w14:textId="77777777" w:rsidR="003B272A" w:rsidRPr="00D411E3" w:rsidRDefault="003B272A" w:rsidP="003B272A">
      <w:pPr>
        <w:ind w:left="360"/>
        <w:jc w:val="both"/>
        <w:rPr>
          <w:rFonts w:ascii="LindeDaxOffice" w:hAnsi="LindeDaxOffice" w:cs="Arial"/>
        </w:rPr>
      </w:pPr>
    </w:p>
    <w:p w14:paraId="05D63C32" w14:textId="3BBF1B77" w:rsidR="003B272A" w:rsidRDefault="003B272A" w:rsidP="003B272A">
      <w:pPr>
        <w:ind w:firstLine="360"/>
        <w:jc w:val="both"/>
        <w:rPr>
          <w:rFonts w:ascii="LindeDaxOffice" w:hAnsi="LindeDaxOffice" w:cs="Arial"/>
          <w:b/>
        </w:rPr>
      </w:pPr>
      <w:r w:rsidRPr="00D411E3">
        <w:rPr>
          <w:rFonts w:ascii="LindeDaxOffice" w:hAnsi="LindeDaxOffice" w:cs="Arial"/>
          <w:b/>
        </w:rPr>
        <w:t>3.9 Compliance procedures; waivers.</w:t>
      </w:r>
    </w:p>
    <w:p w14:paraId="2D8D7D79" w14:textId="77777777" w:rsidR="003B272A" w:rsidRPr="00D411E3" w:rsidRDefault="003B272A" w:rsidP="003B272A">
      <w:pPr>
        <w:ind w:firstLine="360"/>
        <w:jc w:val="both"/>
        <w:rPr>
          <w:rFonts w:ascii="LindeDaxOffice" w:hAnsi="LindeDaxOffice" w:cs="Arial"/>
          <w:b/>
        </w:rPr>
      </w:pPr>
    </w:p>
    <w:p w14:paraId="06D0006A" w14:textId="28134B3F" w:rsidR="003B272A" w:rsidRDefault="003B272A" w:rsidP="003B272A">
      <w:pPr>
        <w:ind w:left="360"/>
        <w:jc w:val="both"/>
        <w:rPr>
          <w:rFonts w:ascii="LindeDaxOffice" w:hAnsi="LindeDaxOffice" w:cs="Arial"/>
        </w:rPr>
      </w:pPr>
      <w:r w:rsidRPr="00D411E3">
        <w:rPr>
          <w:rFonts w:ascii="LindeDaxOffice" w:hAnsi="LindeDaxOffice" w:cs="Arial"/>
        </w:rPr>
        <w:t xml:space="preserve">Directors should communicate any suspected violation of this Code promptly to the Chairman of the Board. Violations will be investigated by the Board or by a person or persons designated by the Board and appropriate action will be taken in the event of any violation of the Code. </w:t>
      </w:r>
    </w:p>
    <w:p w14:paraId="073A83E3" w14:textId="77777777" w:rsidR="003B272A" w:rsidRPr="00D411E3" w:rsidRDefault="003B272A" w:rsidP="003B272A">
      <w:pPr>
        <w:ind w:left="360"/>
        <w:jc w:val="both"/>
        <w:rPr>
          <w:rFonts w:ascii="LindeDaxOffice" w:hAnsi="LindeDaxOffice" w:cs="Arial"/>
        </w:rPr>
      </w:pPr>
    </w:p>
    <w:p w14:paraId="74ACA976" w14:textId="6AE24054" w:rsidR="003B272A" w:rsidRPr="00080E4B" w:rsidRDefault="003B272A" w:rsidP="003B272A">
      <w:pPr>
        <w:ind w:left="360"/>
        <w:jc w:val="both"/>
        <w:rPr>
          <w:rFonts w:ascii="LindeDaxOffice" w:hAnsi="LindeDaxOffice" w:cs="Arial"/>
        </w:rPr>
      </w:pPr>
      <w:r w:rsidRPr="00080E4B">
        <w:rPr>
          <w:rFonts w:ascii="LindeDaxOffice" w:hAnsi="LindeDaxOffice" w:cs="Arial"/>
        </w:rPr>
        <w:t>Any waivers of this Code may only be granted by the Board after disclosure of all material facts by the Directors seeking the waiver. Waivers will only be granted in exigent circumstances and will be disclosed promptly to shareholders.</w:t>
      </w:r>
    </w:p>
    <w:p w14:paraId="04CABE72" w14:textId="50174498" w:rsidR="003B272A" w:rsidRDefault="003B272A" w:rsidP="003B272A">
      <w:pPr>
        <w:ind w:left="360"/>
        <w:jc w:val="both"/>
        <w:rPr>
          <w:rFonts w:ascii="LindeDaxOffice" w:hAnsi="LindeDaxOffice" w:cs="LindeDaxOffice"/>
        </w:rPr>
      </w:pPr>
    </w:p>
    <w:p w14:paraId="1EEE1499" w14:textId="70F8CC7D" w:rsidR="003B272A" w:rsidRDefault="003B272A" w:rsidP="003B272A">
      <w:pPr>
        <w:ind w:firstLine="360"/>
        <w:jc w:val="both"/>
        <w:rPr>
          <w:rFonts w:ascii="LindeDaxOffice" w:hAnsi="LindeDaxOffice" w:cs="Arial"/>
          <w:b/>
        </w:rPr>
      </w:pPr>
      <w:r w:rsidRPr="00D411E3">
        <w:rPr>
          <w:rFonts w:ascii="LindeDaxOffice" w:hAnsi="LindeDaxOffice" w:cs="Arial"/>
          <w:b/>
        </w:rPr>
        <w:t xml:space="preserve">3.10 Taking external advice </w:t>
      </w:r>
    </w:p>
    <w:p w14:paraId="13C9D6A4" w14:textId="77777777" w:rsidR="003B272A" w:rsidRPr="00D411E3" w:rsidRDefault="003B272A" w:rsidP="003B272A">
      <w:pPr>
        <w:ind w:firstLine="360"/>
        <w:jc w:val="both"/>
        <w:rPr>
          <w:rFonts w:ascii="LindeDaxOffice" w:hAnsi="LindeDaxOffice" w:cs="LindeDaxOffice"/>
        </w:rPr>
      </w:pPr>
    </w:p>
    <w:p w14:paraId="2E98E775" w14:textId="7FFC898E" w:rsidR="003B272A" w:rsidRDefault="003B272A" w:rsidP="003B272A">
      <w:pPr>
        <w:ind w:left="360"/>
        <w:jc w:val="both"/>
        <w:rPr>
          <w:rFonts w:ascii="LindeDaxOffice" w:hAnsi="LindeDaxOffice" w:cs="LindeDaxOffice"/>
        </w:rPr>
      </w:pPr>
      <w:r w:rsidRPr="00D411E3">
        <w:rPr>
          <w:rFonts w:ascii="LindeDaxOffice" w:hAnsi="LindeDaxOffice" w:cs="Arial"/>
        </w:rPr>
        <w:t xml:space="preserve">The Directors may </w:t>
      </w:r>
      <w:r w:rsidRPr="00D411E3">
        <w:rPr>
          <w:rFonts w:ascii="LindeDaxOffice" w:hAnsi="LindeDaxOffice" w:cs="LindeDaxOffice"/>
        </w:rPr>
        <w:t xml:space="preserve">seek appropriate clarification or amplification of information and, where necessary, take and follow appropriate professional advice and opinion of outside experts at the expense of the </w:t>
      </w:r>
      <w:proofErr w:type="gramStart"/>
      <w:r w:rsidRPr="00D411E3">
        <w:rPr>
          <w:rFonts w:ascii="LindeDaxOffice" w:hAnsi="LindeDaxOffice" w:cs="LindeDaxOffice"/>
        </w:rPr>
        <w:t>company;</w:t>
      </w:r>
      <w:proofErr w:type="gramEnd"/>
    </w:p>
    <w:p w14:paraId="1636157C" w14:textId="77777777" w:rsidR="00B912F6" w:rsidRPr="00D411E3" w:rsidRDefault="00B912F6" w:rsidP="003B272A">
      <w:pPr>
        <w:ind w:left="360"/>
        <w:jc w:val="both"/>
        <w:rPr>
          <w:rFonts w:ascii="LindeDaxOffice" w:hAnsi="LindeDaxOffice" w:cs="LindeDaxOffice"/>
        </w:rPr>
      </w:pPr>
    </w:p>
    <w:p w14:paraId="3AF43DFC" w14:textId="0B086A63" w:rsidR="003B272A" w:rsidRDefault="003B272A" w:rsidP="003B272A">
      <w:pPr>
        <w:ind w:left="360"/>
        <w:jc w:val="both"/>
        <w:rPr>
          <w:rFonts w:ascii="LindeDaxOffice" w:hAnsi="LindeDaxOffice" w:cs="Arial"/>
        </w:rPr>
      </w:pPr>
      <w:r w:rsidRPr="00080E4B">
        <w:rPr>
          <w:rFonts w:ascii="LindeDaxOffice" w:hAnsi="LindeDaxOffice" w:cs="Arial"/>
        </w:rPr>
        <w:t xml:space="preserve">The Board recognizes that there may be occasions when one or more of the Directors feel the necessity to take independent legal and/or financial advice in respect of </w:t>
      </w:r>
      <w:r w:rsidRPr="00D411E3">
        <w:rPr>
          <w:rFonts w:ascii="LindeDaxOffice" w:hAnsi="LindeDaxOffice" w:cs="Arial"/>
        </w:rPr>
        <w:t xml:space="preserve">matters within the company upon which they are being asked to express an opinion or about </w:t>
      </w:r>
      <w:r w:rsidRPr="00D411E3">
        <w:rPr>
          <w:rFonts w:ascii="LindeDaxOffice" w:hAnsi="LindeDaxOffice" w:cs="Arial"/>
        </w:rPr>
        <w:lastRenderedPageBreak/>
        <w:t>which they have some concerns (not being day to day operational matters). The Company will reimburse the costs of obtaining such advice, provided the prior consent of the Chairman of the Board is first obtained. This consent is not required to be taken by the Chairman of the Audit Committee.</w:t>
      </w:r>
    </w:p>
    <w:p w14:paraId="5CE60898" w14:textId="77777777" w:rsidR="006A3355" w:rsidRPr="00D411E3" w:rsidRDefault="006A3355" w:rsidP="003B272A">
      <w:pPr>
        <w:ind w:left="360"/>
        <w:jc w:val="both"/>
        <w:rPr>
          <w:rFonts w:ascii="LindeDaxOffice" w:hAnsi="LindeDaxOffice" w:cs="Arial"/>
        </w:rPr>
      </w:pPr>
    </w:p>
    <w:p w14:paraId="46FAB527" w14:textId="7FE484A2" w:rsidR="003B272A" w:rsidRDefault="003B272A" w:rsidP="003B272A">
      <w:pPr>
        <w:ind w:firstLine="360"/>
        <w:jc w:val="both"/>
        <w:rPr>
          <w:rFonts w:ascii="LindeDaxOffice" w:hAnsi="LindeDaxOffice" w:cs="Arial"/>
          <w:b/>
        </w:rPr>
      </w:pPr>
      <w:r w:rsidRPr="00D411E3">
        <w:rPr>
          <w:rFonts w:ascii="LindeDaxOffice" w:hAnsi="LindeDaxOffice" w:cs="Arial"/>
          <w:b/>
        </w:rPr>
        <w:t>3.11 Breach of duties</w:t>
      </w:r>
    </w:p>
    <w:p w14:paraId="7CC13DBF" w14:textId="77777777" w:rsidR="006A3355" w:rsidRPr="00D411E3" w:rsidRDefault="006A3355" w:rsidP="003B272A">
      <w:pPr>
        <w:ind w:firstLine="360"/>
        <w:jc w:val="both"/>
        <w:rPr>
          <w:rFonts w:ascii="LindeDaxOffice" w:hAnsi="LindeDaxOffice" w:cs="Arial"/>
          <w:b/>
        </w:rPr>
      </w:pPr>
    </w:p>
    <w:p w14:paraId="1B047362" w14:textId="77777777" w:rsidR="003B272A" w:rsidRPr="00080E4B" w:rsidRDefault="003B272A" w:rsidP="003B272A">
      <w:pPr>
        <w:ind w:left="360"/>
        <w:jc w:val="both"/>
        <w:rPr>
          <w:rFonts w:ascii="LindeDaxOffice" w:hAnsi="LindeDaxOffice" w:cs="Arial"/>
        </w:rPr>
      </w:pPr>
      <w:r w:rsidRPr="00080E4B">
        <w:rPr>
          <w:rFonts w:ascii="LindeDaxOffice" w:hAnsi="LindeDaxOffice" w:cs="Arial"/>
        </w:rPr>
        <w:t xml:space="preserve">Any breach of these duties by a </w:t>
      </w:r>
      <w:proofErr w:type="gramStart"/>
      <w:r w:rsidRPr="00080E4B">
        <w:rPr>
          <w:rFonts w:ascii="LindeDaxOffice" w:hAnsi="LindeDaxOffice" w:cs="Arial"/>
        </w:rPr>
        <w:t>Director</w:t>
      </w:r>
      <w:proofErr w:type="gramEnd"/>
      <w:r w:rsidRPr="00080E4B">
        <w:rPr>
          <w:rFonts w:ascii="LindeDaxOffice" w:hAnsi="LindeDaxOffice" w:cs="Arial"/>
        </w:rPr>
        <w:t xml:space="preserve"> enables the Company to take action against him/her and sue him/her for its loss. </w:t>
      </w:r>
    </w:p>
    <w:p w14:paraId="14CB44C1" w14:textId="77777777" w:rsidR="003B272A" w:rsidRPr="00080E4B" w:rsidRDefault="003B272A" w:rsidP="003B272A">
      <w:pPr>
        <w:autoSpaceDE w:val="0"/>
        <w:autoSpaceDN w:val="0"/>
        <w:adjustRightInd w:val="0"/>
        <w:jc w:val="both"/>
        <w:rPr>
          <w:rFonts w:ascii="LindeDaxOffice" w:eastAsia="SymbolMT" w:hAnsi="LindeDaxOffice" w:cs="SymbolMT"/>
        </w:rPr>
      </w:pPr>
    </w:p>
    <w:p w14:paraId="551964E6" w14:textId="77777777" w:rsidR="003B272A" w:rsidRPr="00D411E3" w:rsidRDefault="003B272A" w:rsidP="003B272A">
      <w:pPr>
        <w:autoSpaceDE w:val="0"/>
        <w:autoSpaceDN w:val="0"/>
        <w:adjustRightInd w:val="0"/>
        <w:jc w:val="both"/>
        <w:rPr>
          <w:rFonts w:ascii="LindeDaxOffice" w:hAnsi="LindeDaxOffice" w:cs="LindeDaxOffice"/>
          <w:b/>
          <w:bCs/>
        </w:rPr>
      </w:pPr>
      <w:r w:rsidRPr="00D411E3">
        <w:rPr>
          <w:rFonts w:ascii="LindeDaxOffice" w:eastAsia="SymbolMT" w:hAnsi="LindeDaxOffice" w:cs="SymbolMT"/>
          <w:b/>
        </w:rPr>
        <w:t>4</w:t>
      </w:r>
      <w:r w:rsidRPr="00D411E3">
        <w:rPr>
          <w:rFonts w:ascii="LindeDaxOffice" w:hAnsi="LindeDaxOffice" w:cs="LindeDaxOffice"/>
          <w:b/>
          <w:bCs/>
        </w:rPr>
        <w:t>. Responsibility</w:t>
      </w:r>
    </w:p>
    <w:p w14:paraId="4A409BA7" w14:textId="77777777" w:rsidR="003B272A" w:rsidRPr="00D411E3" w:rsidRDefault="003B272A" w:rsidP="003B272A">
      <w:pPr>
        <w:autoSpaceDE w:val="0"/>
        <w:autoSpaceDN w:val="0"/>
        <w:adjustRightInd w:val="0"/>
        <w:jc w:val="both"/>
        <w:rPr>
          <w:rFonts w:ascii="LindeDaxOffice" w:hAnsi="LindeDaxOffice" w:cs="LindeDaxOffice"/>
          <w:b/>
          <w:bCs/>
        </w:rPr>
      </w:pPr>
    </w:p>
    <w:p w14:paraId="2BA0362D" w14:textId="77777777" w:rsidR="003B272A" w:rsidRPr="00D411E3" w:rsidRDefault="003B272A" w:rsidP="003B272A">
      <w:pPr>
        <w:autoSpaceDE w:val="0"/>
        <w:autoSpaceDN w:val="0"/>
        <w:adjustRightInd w:val="0"/>
        <w:jc w:val="both"/>
        <w:rPr>
          <w:rFonts w:ascii="LindeDaxOffice" w:hAnsi="LindeDaxOffice" w:cs="LindeDaxOffice"/>
        </w:rPr>
      </w:pPr>
      <w:r w:rsidRPr="00D411E3">
        <w:rPr>
          <w:rFonts w:ascii="LindeDaxOffice" w:hAnsi="LindeDaxOffice" w:cs="LindeDaxOffice"/>
        </w:rPr>
        <w:t>All Directors must uphold this Code in the conduct of the Company business.</w:t>
      </w:r>
    </w:p>
    <w:p w14:paraId="3C4B3464" w14:textId="77777777" w:rsidR="003B272A" w:rsidRPr="00D411E3" w:rsidRDefault="003B272A" w:rsidP="003B272A">
      <w:pPr>
        <w:autoSpaceDE w:val="0"/>
        <w:autoSpaceDN w:val="0"/>
        <w:adjustRightInd w:val="0"/>
        <w:jc w:val="both"/>
        <w:rPr>
          <w:rFonts w:ascii="LindeDaxOffice" w:hAnsi="LindeDaxOffice" w:cs="LindeDaxOffice"/>
        </w:rPr>
      </w:pPr>
    </w:p>
    <w:p w14:paraId="2C25A437" w14:textId="1C6AD52E" w:rsidR="003B272A" w:rsidRDefault="003B272A" w:rsidP="003B272A">
      <w:pPr>
        <w:jc w:val="both"/>
        <w:rPr>
          <w:rFonts w:ascii="LindeDaxOffice" w:hAnsi="LindeDaxOffice" w:cs="Arial"/>
          <w:b/>
        </w:rPr>
      </w:pPr>
      <w:r w:rsidRPr="00D411E3">
        <w:rPr>
          <w:rFonts w:ascii="LindeDaxOffice" w:hAnsi="LindeDaxOffice" w:cs="Arial"/>
          <w:b/>
        </w:rPr>
        <w:t>5. Indemnity</w:t>
      </w:r>
    </w:p>
    <w:p w14:paraId="498104E0" w14:textId="77777777" w:rsidR="006A3355" w:rsidRDefault="006A3355" w:rsidP="003B272A">
      <w:pPr>
        <w:jc w:val="both"/>
        <w:rPr>
          <w:rFonts w:ascii="LindeDaxOffice" w:hAnsi="LindeDaxOffice" w:cs="Arial"/>
          <w:color w:val="FF0000"/>
        </w:rPr>
      </w:pPr>
    </w:p>
    <w:p w14:paraId="3B199B30" w14:textId="77777777" w:rsidR="003B272A" w:rsidRPr="00D411E3" w:rsidRDefault="003B272A" w:rsidP="003B272A">
      <w:pPr>
        <w:jc w:val="both"/>
        <w:rPr>
          <w:rFonts w:ascii="LindeDaxOffice" w:hAnsi="LindeDaxOffice" w:cs="Arial"/>
        </w:rPr>
      </w:pPr>
      <w:r>
        <w:rPr>
          <w:rFonts w:ascii="LindeDaxOffice" w:hAnsi="LindeDaxOffice" w:cs="Arial"/>
        </w:rPr>
        <w:t xml:space="preserve">The Directors will be </w:t>
      </w:r>
      <w:r w:rsidRPr="00E45704">
        <w:rPr>
          <w:rFonts w:ascii="LindeDaxOffice" w:hAnsi="LindeDaxOffice" w:cs="Arial"/>
        </w:rPr>
        <w:t>indemnif</w:t>
      </w:r>
      <w:r>
        <w:rPr>
          <w:rFonts w:ascii="LindeDaxOffice" w:hAnsi="LindeDaxOffice" w:cs="Arial"/>
        </w:rPr>
        <w:t xml:space="preserve">ied </w:t>
      </w:r>
      <w:r w:rsidRPr="00E45704">
        <w:rPr>
          <w:rFonts w:ascii="LindeDaxOffice" w:hAnsi="LindeDaxOffice" w:cs="Arial"/>
        </w:rPr>
        <w:t>against any</w:t>
      </w:r>
      <w:r>
        <w:rPr>
          <w:rFonts w:ascii="LindeDaxOffice" w:hAnsi="LindeDaxOffice" w:cs="Arial"/>
        </w:rPr>
        <w:t xml:space="preserve"> </w:t>
      </w:r>
      <w:r w:rsidRPr="00E45704">
        <w:rPr>
          <w:rFonts w:ascii="LindeDaxOffice" w:hAnsi="LindeDaxOffice" w:cs="Arial"/>
        </w:rPr>
        <w:t xml:space="preserve">liability incurred by </w:t>
      </w:r>
      <w:r>
        <w:rPr>
          <w:rFonts w:ascii="LindeDaxOffice" w:hAnsi="LindeDaxOffice" w:cs="Arial"/>
        </w:rPr>
        <w:t xml:space="preserve">them </w:t>
      </w:r>
      <w:r w:rsidRPr="00E45704">
        <w:rPr>
          <w:rFonts w:ascii="LindeDaxOffice" w:hAnsi="LindeDaxOffice" w:cs="Arial"/>
        </w:rPr>
        <w:t xml:space="preserve">in defending any proceedings, whether civil or criminal, in which judgement is given in </w:t>
      </w:r>
      <w:r>
        <w:rPr>
          <w:rFonts w:ascii="LindeDaxOffice" w:hAnsi="LindeDaxOffice" w:cs="Arial"/>
        </w:rPr>
        <w:t xml:space="preserve">their </w:t>
      </w:r>
      <w:r w:rsidRPr="00E45704">
        <w:rPr>
          <w:rFonts w:ascii="LindeDaxOffice" w:hAnsi="LindeDaxOffice" w:cs="Arial"/>
        </w:rPr>
        <w:t>favor or</w:t>
      </w:r>
      <w:r>
        <w:rPr>
          <w:rFonts w:ascii="LindeDaxOffice" w:hAnsi="LindeDaxOffice" w:cs="Arial"/>
        </w:rPr>
        <w:t xml:space="preserve"> </w:t>
      </w:r>
      <w:r w:rsidRPr="00E45704">
        <w:rPr>
          <w:rFonts w:ascii="LindeDaxOffice" w:hAnsi="LindeDaxOffice" w:cs="Arial"/>
        </w:rPr>
        <w:t xml:space="preserve">in which </w:t>
      </w:r>
      <w:r>
        <w:rPr>
          <w:rFonts w:ascii="LindeDaxOffice" w:hAnsi="LindeDaxOffice" w:cs="Arial"/>
        </w:rPr>
        <w:t>they are</w:t>
      </w:r>
      <w:r w:rsidRPr="00E45704">
        <w:rPr>
          <w:rFonts w:ascii="LindeDaxOffice" w:hAnsi="LindeDaxOffice" w:cs="Arial"/>
        </w:rPr>
        <w:t xml:space="preserve"> acquitted</w:t>
      </w:r>
      <w:r>
        <w:rPr>
          <w:rFonts w:ascii="LindeDaxOffice" w:hAnsi="LindeDaxOffice" w:cs="Arial"/>
        </w:rPr>
        <w:t xml:space="preserve">. Any indemnity to the Directors must be followed in compliance with relevant provision of Companies Act in Bangladesh. </w:t>
      </w:r>
    </w:p>
    <w:p w14:paraId="606345AB" w14:textId="77777777" w:rsidR="003B272A" w:rsidRPr="00D411E3" w:rsidRDefault="003B272A" w:rsidP="003B272A">
      <w:pPr>
        <w:autoSpaceDE w:val="0"/>
        <w:autoSpaceDN w:val="0"/>
        <w:adjustRightInd w:val="0"/>
        <w:jc w:val="both"/>
        <w:rPr>
          <w:rFonts w:ascii="LindeDaxOffice" w:hAnsi="LindeDaxOffice" w:cs="LindeDaxOffice"/>
        </w:rPr>
      </w:pPr>
    </w:p>
    <w:p w14:paraId="5B74AB07" w14:textId="77777777" w:rsidR="003B272A" w:rsidRPr="00D411E3" w:rsidRDefault="003B272A" w:rsidP="003B272A">
      <w:pPr>
        <w:autoSpaceDE w:val="0"/>
        <w:autoSpaceDN w:val="0"/>
        <w:adjustRightInd w:val="0"/>
        <w:jc w:val="both"/>
        <w:rPr>
          <w:rFonts w:ascii="LindeDaxOffice" w:hAnsi="LindeDaxOffice" w:cs="Arial"/>
          <w:b/>
        </w:rPr>
      </w:pPr>
      <w:r w:rsidRPr="00D411E3">
        <w:rPr>
          <w:rFonts w:ascii="LindeDaxOffice" w:hAnsi="LindeDaxOffice" w:cs="LindeDaxOffice"/>
          <w:b/>
          <w:bCs/>
        </w:rPr>
        <w:t xml:space="preserve">6. </w:t>
      </w:r>
      <w:r w:rsidRPr="00D411E3">
        <w:rPr>
          <w:rFonts w:ascii="LindeDaxOffice" w:hAnsi="LindeDaxOffice" w:cs="Arial"/>
          <w:b/>
        </w:rPr>
        <w:t xml:space="preserve"> Amendment to the code</w:t>
      </w:r>
    </w:p>
    <w:p w14:paraId="25D219B1" w14:textId="77777777" w:rsidR="003B272A" w:rsidRPr="00D411E3" w:rsidRDefault="003B272A" w:rsidP="003B272A">
      <w:pPr>
        <w:autoSpaceDE w:val="0"/>
        <w:autoSpaceDN w:val="0"/>
        <w:adjustRightInd w:val="0"/>
        <w:jc w:val="both"/>
        <w:rPr>
          <w:rFonts w:ascii="LindeDaxOffice" w:hAnsi="LindeDaxOffice" w:cs="LindeDaxOffice"/>
          <w:b/>
          <w:bCs/>
        </w:rPr>
      </w:pPr>
    </w:p>
    <w:p w14:paraId="08304F3B" w14:textId="77777777" w:rsidR="003B272A" w:rsidRPr="00D411E3" w:rsidRDefault="003B272A" w:rsidP="003B272A">
      <w:pPr>
        <w:jc w:val="both"/>
        <w:rPr>
          <w:rFonts w:ascii="LindeDaxOffice" w:hAnsi="LindeDaxOffice" w:cs="LindeDaxOffice"/>
        </w:rPr>
      </w:pPr>
      <w:r w:rsidRPr="00D411E3">
        <w:rPr>
          <w:rFonts w:ascii="LindeDaxOffice" w:hAnsi="LindeDaxOffice" w:cs="Arial"/>
        </w:rPr>
        <w:t xml:space="preserve"> This Code may be amended </w:t>
      </w:r>
      <w:r w:rsidRPr="00D411E3">
        <w:rPr>
          <w:rFonts w:ascii="LindeDaxOffice" w:hAnsi="LindeDaxOffice" w:cs="LindeDaxOffice"/>
        </w:rPr>
        <w:t>to meet the requirements of any relevant statute or the business interests of the Company, subject to approval of the Board of Directors of the Company.</w:t>
      </w:r>
    </w:p>
    <w:p w14:paraId="405C3930" w14:textId="77777777" w:rsidR="003B272A" w:rsidRPr="00D411E3" w:rsidRDefault="003B272A" w:rsidP="003B272A">
      <w:pPr>
        <w:autoSpaceDE w:val="0"/>
        <w:autoSpaceDN w:val="0"/>
        <w:adjustRightInd w:val="0"/>
        <w:jc w:val="both"/>
        <w:rPr>
          <w:rFonts w:ascii="LindeDaxOffice" w:hAnsi="LindeDaxOffice" w:cs="LindeDaxOffice"/>
          <w:b/>
        </w:rPr>
      </w:pPr>
    </w:p>
    <w:p w14:paraId="2D0ACD77" w14:textId="77777777" w:rsidR="003B272A" w:rsidRPr="00D411E3" w:rsidRDefault="003B272A" w:rsidP="003B272A">
      <w:pPr>
        <w:autoSpaceDE w:val="0"/>
        <w:autoSpaceDN w:val="0"/>
        <w:adjustRightInd w:val="0"/>
        <w:jc w:val="both"/>
        <w:rPr>
          <w:rFonts w:ascii="LindeDaxOffice" w:hAnsi="LindeDaxOffice" w:cs="LindeDaxOffice"/>
          <w:b/>
          <w:bCs/>
        </w:rPr>
      </w:pPr>
      <w:r w:rsidRPr="00D411E3">
        <w:rPr>
          <w:rFonts w:ascii="LindeDaxOffice" w:hAnsi="LindeDaxOffice" w:cs="LindeDaxOffice"/>
          <w:b/>
          <w:bCs/>
        </w:rPr>
        <w:t>7. Declaration</w:t>
      </w:r>
    </w:p>
    <w:p w14:paraId="12791EB5" w14:textId="77777777" w:rsidR="003B272A" w:rsidRPr="00D411E3" w:rsidRDefault="003B272A" w:rsidP="003B272A">
      <w:pPr>
        <w:autoSpaceDE w:val="0"/>
        <w:autoSpaceDN w:val="0"/>
        <w:adjustRightInd w:val="0"/>
        <w:jc w:val="both"/>
        <w:rPr>
          <w:rFonts w:ascii="LindeDaxOffice" w:hAnsi="LindeDaxOffice" w:cs="Arial"/>
        </w:rPr>
      </w:pPr>
    </w:p>
    <w:p w14:paraId="4DEDEED7" w14:textId="4B9BBC60" w:rsidR="00BC6721" w:rsidRPr="00912E14" w:rsidRDefault="003B272A" w:rsidP="003B272A">
      <w:pPr>
        <w:jc w:val="both"/>
        <w:rPr>
          <w:rFonts w:ascii="LindeDaxOffice" w:hAnsi="LindeDaxOffice"/>
          <w:sz w:val="22"/>
          <w:szCs w:val="22"/>
        </w:rPr>
      </w:pPr>
      <w:r w:rsidRPr="00D411E3">
        <w:rPr>
          <w:rFonts w:ascii="LindeDaxOffice" w:hAnsi="LindeDaxOffice" w:cs="Arial"/>
        </w:rPr>
        <w:t xml:space="preserve">Directors may issue a declaration </w:t>
      </w:r>
      <w:r w:rsidRPr="00D411E3">
        <w:rPr>
          <w:rFonts w:ascii="LindeDaxOffice" w:hAnsi="LindeDaxOffice" w:cs="LindeDaxOffice"/>
        </w:rPr>
        <w:t>affirming compliance with the provisions of this Code, subject to the legal requirement.</w:t>
      </w:r>
    </w:p>
    <w:p w14:paraId="3BF07B95" w14:textId="77777777" w:rsidR="00F6520C" w:rsidRPr="00912E14" w:rsidRDefault="00F6520C" w:rsidP="00F42C98">
      <w:pPr>
        <w:jc w:val="both"/>
        <w:rPr>
          <w:rFonts w:ascii="LindeDaxOffice" w:hAnsi="LindeDaxOffice"/>
          <w:sz w:val="22"/>
          <w:szCs w:val="22"/>
        </w:rPr>
      </w:pPr>
    </w:p>
    <w:p w14:paraId="13C1D5ED" w14:textId="75A4E3EE" w:rsidR="00E3364C" w:rsidRDefault="004928D5" w:rsidP="00F42C98">
      <w:pPr>
        <w:jc w:val="both"/>
        <w:rPr>
          <w:rFonts w:ascii="LindeDaxOffice" w:hAnsi="LindeDaxOffice"/>
          <w:sz w:val="22"/>
          <w:szCs w:val="22"/>
        </w:rPr>
      </w:pPr>
      <w:r w:rsidRPr="00912E14">
        <w:rPr>
          <w:rFonts w:ascii="LindeDaxOffice" w:hAnsi="LindeDaxOffice"/>
          <w:sz w:val="22"/>
          <w:szCs w:val="22"/>
        </w:rPr>
        <w:t xml:space="preserve"> </w:t>
      </w:r>
    </w:p>
    <w:sectPr w:rsidR="00E3364C" w:rsidSect="00D911E0">
      <w:headerReference w:type="default" r:id="rId11"/>
      <w:footerReference w:type="default" r:id="rId12"/>
      <w:pgSz w:w="11909" w:h="16834" w:code="9"/>
      <w:pgMar w:top="23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83EFD" w14:textId="77777777" w:rsidR="00F85621" w:rsidRDefault="00F85621">
      <w:r>
        <w:separator/>
      </w:r>
    </w:p>
  </w:endnote>
  <w:endnote w:type="continuationSeparator" w:id="0">
    <w:p w14:paraId="26229DEB" w14:textId="77777777" w:rsidR="00F85621" w:rsidRDefault="00F8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LindeDaxOffice">
    <w:panose1 w:val="020B0500000000020000"/>
    <w:charset w:val="00"/>
    <w:family w:val="swiss"/>
    <w:pitch w:val="variable"/>
    <w:sig w:usb0="800000AF" w:usb1="5000206A" w:usb2="00000000" w:usb3="00000000" w:csb0="00000093"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DEB4" w14:textId="3AA4097B" w:rsidR="00533E46" w:rsidRPr="00533E46" w:rsidRDefault="00533E46" w:rsidP="00533E46">
    <w:pPr>
      <w:pStyle w:val="Footer"/>
      <w:ind w:left="3600" w:firstLine="4320"/>
      <w:rPr>
        <w:rFonts w:ascii="LindeDaxOffice" w:hAnsi="LindeDaxOffice"/>
      </w:rPr>
    </w:pPr>
    <w:r w:rsidRPr="00533E46">
      <w:rPr>
        <w:rFonts w:ascii="LindeDaxOffice" w:hAnsi="LindeDaxOffice"/>
      </w:rPr>
      <w:t xml:space="preserve">Page </w:t>
    </w:r>
    <w:r w:rsidRPr="00533E46">
      <w:rPr>
        <w:rFonts w:ascii="LindeDaxOffice" w:hAnsi="LindeDaxOffice"/>
        <w:b/>
        <w:bCs/>
      </w:rPr>
      <w:fldChar w:fldCharType="begin"/>
    </w:r>
    <w:r w:rsidRPr="00533E46">
      <w:rPr>
        <w:rFonts w:ascii="LindeDaxOffice" w:hAnsi="LindeDaxOffice"/>
        <w:b/>
        <w:bCs/>
      </w:rPr>
      <w:instrText xml:space="preserve"> PAGE </w:instrText>
    </w:r>
    <w:r w:rsidRPr="00533E46">
      <w:rPr>
        <w:rFonts w:ascii="LindeDaxOffice" w:hAnsi="LindeDaxOffice"/>
        <w:b/>
        <w:bCs/>
      </w:rPr>
      <w:fldChar w:fldCharType="separate"/>
    </w:r>
    <w:r w:rsidRPr="00533E46">
      <w:rPr>
        <w:rFonts w:ascii="LindeDaxOffice" w:hAnsi="LindeDaxOffice"/>
        <w:b/>
        <w:bCs/>
        <w:noProof/>
      </w:rPr>
      <w:t>2</w:t>
    </w:r>
    <w:r w:rsidRPr="00533E46">
      <w:rPr>
        <w:rFonts w:ascii="LindeDaxOffice" w:hAnsi="LindeDaxOffice"/>
        <w:b/>
        <w:bCs/>
      </w:rPr>
      <w:fldChar w:fldCharType="end"/>
    </w:r>
    <w:r w:rsidRPr="00533E46">
      <w:rPr>
        <w:rFonts w:ascii="LindeDaxOffice" w:hAnsi="LindeDaxOffice"/>
      </w:rPr>
      <w:t xml:space="preserve"> of </w:t>
    </w:r>
    <w:r w:rsidRPr="00533E46">
      <w:rPr>
        <w:rFonts w:ascii="LindeDaxOffice" w:hAnsi="LindeDaxOffice"/>
        <w:b/>
        <w:bCs/>
      </w:rPr>
      <w:fldChar w:fldCharType="begin"/>
    </w:r>
    <w:r w:rsidRPr="00533E46">
      <w:rPr>
        <w:rFonts w:ascii="LindeDaxOffice" w:hAnsi="LindeDaxOffice"/>
        <w:b/>
        <w:bCs/>
      </w:rPr>
      <w:instrText xml:space="preserve"> NUMPAGES  </w:instrText>
    </w:r>
    <w:r w:rsidRPr="00533E46">
      <w:rPr>
        <w:rFonts w:ascii="LindeDaxOffice" w:hAnsi="LindeDaxOffice"/>
        <w:b/>
        <w:bCs/>
      </w:rPr>
      <w:fldChar w:fldCharType="separate"/>
    </w:r>
    <w:r w:rsidRPr="00533E46">
      <w:rPr>
        <w:rFonts w:ascii="LindeDaxOffice" w:hAnsi="LindeDaxOffice"/>
        <w:b/>
        <w:bCs/>
        <w:noProof/>
      </w:rPr>
      <w:t>2</w:t>
    </w:r>
    <w:r w:rsidRPr="00533E46">
      <w:rPr>
        <w:rFonts w:ascii="LindeDaxOffice" w:hAnsi="LindeDaxOffice"/>
        <w:b/>
        <w:bCs/>
      </w:rPr>
      <w:fldChar w:fldCharType="end"/>
    </w:r>
  </w:p>
  <w:p w14:paraId="1DB77509" w14:textId="77777777" w:rsidR="00533E46" w:rsidRDefault="0053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FC7E" w14:textId="77777777" w:rsidR="00F85621" w:rsidRDefault="00F85621">
      <w:r>
        <w:separator/>
      </w:r>
    </w:p>
  </w:footnote>
  <w:footnote w:type="continuationSeparator" w:id="0">
    <w:p w14:paraId="556273AC" w14:textId="77777777" w:rsidR="00F85621" w:rsidRDefault="00F85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D1EE" w14:textId="1F72B250" w:rsidR="000B170C" w:rsidRPr="006C37C8" w:rsidRDefault="000862AD" w:rsidP="009653CF">
    <w:pPr>
      <w:pStyle w:val="Header"/>
      <w:ind w:right="-108"/>
      <w:jc w:val="right"/>
    </w:pPr>
    <w:r>
      <w:rPr>
        <w:b/>
        <w:noProof/>
      </w:rPr>
      <w:drawing>
        <wp:inline distT="0" distB="0" distL="0" distR="0" wp14:anchorId="0E2F58D1" wp14:editId="496F14C7">
          <wp:extent cx="18288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5C9"/>
    <w:multiLevelType w:val="hybridMultilevel"/>
    <w:tmpl w:val="069041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07F64"/>
    <w:multiLevelType w:val="hybridMultilevel"/>
    <w:tmpl w:val="BC0EEFE4"/>
    <w:lvl w:ilvl="0" w:tplc="22268B52">
      <w:start w:val="1"/>
      <w:numFmt w:val="decimal"/>
      <w:lvlText w:val="%1."/>
      <w:lvlJc w:val="left"/>
      <w:pPr>
        <w:tabs>
          <w:tab w:val="num" w:pos="360"/>
        </w:tabs>
        <w:ind w:left="0" w:firstLine="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A662A"/>
    <w:multiLevelType w:val="hybridMultilevel"/>
    <w:tmpl w:val="4D182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123B7A"/>
    <w:multiLevelType w:val="hybridMultilevel"/>
    <w:tmpl w:val="03BA71C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0A0E78E4"/>
    <w:multiLevelType w:val="hybridMultilevel"/>
    <w:tmpl w:val="7FDA6920"/>
    <w:lvl w:ilvl="0" w:tplc="EAF078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6D691A"/>
    <w:multiLevelType w:val="multilevel"/>
    <w:tmpl w:val="BBA43354"/>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C8F7444"/>
    <w:multiLevelType w:val="hybridMultilevel"/>
    <w:tmpl w:val="342CF10A"/>
    <w:lvl w:ilvl="0" w:tplc="96A854E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EC7E2F"/>
    <w:multiLevelType w:val="hybridMultilevel"/>
    <w:tmpl w:val="4A48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67AC6"/>
    <w:multiLevelType w:val="hybridMultilevel"/>
    <w:tmpl w:val="C5364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9774AF"/>
    <w:multiLevelType w:val="multilevel"/>
    <w:tmpl w:val="3730A0B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B80ED1"/>
    <w:multiLevelType w:val="singleLevel"/>
    <w:tmpl w:val="9564AE9C"/>
    <w:lvl w:ilvl="0">
      <w:start w:val="1"/>
      <w:numFmt w:val="decimal"/>
      <w:lvlText w:val="%1."/>
      <w:lvlJc w:val="left"/>
      <w:pPr>
        <w:tabs>
          <w:tab w:val="num" w:pos="360"/>
        </w:tabs>
        <w:ind w:left="360" w:hanging="360"/>
      </w:pPr>
      <w:rPr>
        <w:rFonts w:hint="default"/>
      </w:rPr>
    </w:lvl>
  </w:abstractNum>
  <w:abstractNum w:abstractNumId="11" w15:restartNumberingAfterBreak="0">
    <w:nsid w:val="1B037CAB"/>
    <w:multiLevelType w:val="hybridMultilevel"/>
    <w:tmpl w:val="039834EC"/>
    <w:lvl w:ilvl="0" w:tplc="9D38FD9A">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0730F1"/>
    <w:multiLevelType w:val="hybridMultilevel"/>
    <w:tmpl w:val="93C215EA"/>
    <w:lvl w:ilvl="0" w:tplc="EA903582">
      <w:start w:val="1"/>
      <w:numFmt w:val="lowerRoman"/>
      <w:lvlText w:val="%1."/>
      <w:lvlJc w:val="right"/>
      <w:pPr>
        <w:tabs>
          <w:tab w:val="num" w:pos="252"/>
        </w:tabs>
        <w:ind w:left="252"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AF5A7B"/>
    <w:multiLevelType w:val="hybridMultilevel"/>
    <w:tmpl w:val="F14EE6E8"/>
    <w:lvl w:ilvl="0" w:tplc="96A854E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4" w15:restartNumberingAfterBreak="0">
    <w:nsid w:val="1FBB12D0"/>
    <w:multiLevelType w:val="hybridMultilevel"/>
    <w:tmpl w:val="C2221FF6"/>
    <w:lvl w:ilvl="0" w:tplc="6162650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402F6F"/>
    <w:multiLevelType w:val="hybridMultilevel"/>
    <w:tmpl w:val="EE200920"/>
    <w:lvl w:ilvl="0" w:tplc="7EC0120C">
      <w:start w:val="28"/>
      <w:numFmt w:val="decimal"/>
      <w:lvlText w:val="%1."/>
      <w:lvlJc w:val="left"/>
      <w:pPr>
        <w:tabs>
          <w:tab w:val="num" w:pos="576"/>
        </w:tabs>
        <w:ind w:left="576"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040C31"/>
    <w:multiLevelType w:val="multilevel"/>
    <w:tmpl w:val="E05251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337D29"/>
    <w:multiLevelType w:val="hybridMultilevel"/>
    <w:tmpl w:val="D3D2A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C7884"/>
    <w:multiLevelType w:val="multilevel"/>
    <w:tmpl w:val="EE200920"/>
    <w:lvl w:ilvl="0">
      <w:start w:val="28"/>
      <w:numFmt w:val="decimal"/>
      <w:lvlText w:val="%1."/>
      <w:lvlJc w:val="left"/>
      <w:pPr>
        <w:tabs>
          <w:tab w:val="num" w:pos="576"/>
        </w:tabs>
        <w:ind w:left="576"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706115"/>
    <w:multiLevelType w:val="hybridMultilevel"/>
    <w:tmpl w:val="83AA9E34"/>
    <w:lvl w:ilvl="0" w:tplc="B43008A2">
      <w:start w:val="1"/>
      <w:numFmt w:val="decimal"/>
      <w:lvlText w:val="%1."/>
      <w:lvlJc w:val="left"/>
      <w:pPr>
        <w:ind w:left="720" w:hanging="360"/>
      </w:pPr>
      <w:rPr>
        <w:rFonts w:cs="Tms Rm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0251B"/>
    <w:multiLevelType w:val="hybridMultilevel"/>
    <w:tmpl w:val="696E3CDA"/>
    <w:lvl w:ilvl="0" w:tplc="F7B699F2">
      <w:start w:val="3"/>
      <w:numFmt w:val="decimal"/>
      <w:lvlText w:val="%1."/>
      <w:lvlJc w:val="left"/>
      <w:pPr>
        <w:tabs>
          <w:tab w:val="num" w:pos="576"/>
        </w:tabs>
        <w:ind w:left="576"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8D2C4C"/>
    <w:multiLevelType w:val="hybridMultilevel"/>
    <w:tmpl w:val="60D89A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C9083C"/>
    <w:multiLevelType w:val="hybridMultilevel"/>
    <w:tmpl w:val="3730A0B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7A5E3B"/>
    <w:multiLevelType w:val="multilevel"/>
    <w:tmpl w:val="BBA4335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ADF02F0"/>
    <w:multiLevelType w:val="hybridMultilevel"/>
    <w:tmpl w:val="6F92981C"/>
    <w:lvl w:ilvl="0" w:tplc="04090017">
      <w:start w:val="1"/>
      <w:numFmt w:val="lowerLetter"/>
      <w:lvlText w:val="%1)"/>
      <w:lvlJc w:val="left"/>
      <w:pPr>
        <w:tabs>
          <w:tab w:val="num" w:pos="720"/>
        </w:tabs>
        <w:ind w:left="720" w:hanging="360"/>
      </w:pPr>
      <w:rPr>
        <w:rFonts w:hint="default"/>
      </w:rPr>
    </w:lvl>
    <w:lvl w:ilvl="1" w:tplc="1F125938">
      <w:start w:val="1"/>
      <w:numFmt w:val="lowerLetter"/>
      <w:lvlText w:val="(%2)"/>
      <w:lvlJc w:val="left"/>
      <w:pPr>
        <w:tabs>
          <w:tab w:val="num" w:pos="1440"/>
        </w:tabs>
        <w:ind w:left="1440" w:hanging="360"/>
      </w:pPr>
      <w:rPr>
        <w:rFonts w:hint="default"/>
      </w:rPr>
    </w:lvl>
    <w:lvl w:ilvl="2" w:tplc="6ED8C4D6">
      <w:start w:val="2"/>
      <w:numFmt w:val="lowerLetter"/>
      <w:lvlText w:val="(%3)"/>
      <w:lvlJc w:val="left"/>
      <w:pPr>
        <w:tabs>
          <w:tab w:val="num" w:pos="720"/>
        </w:tabs>
        <w:ind w:left="720" w:hanging="360"/>
      </w:pPr>
      <w:rPr>
        <w:rFonts w:hint="default"/>
      </w:rPr>
    </w:lvl>
    <w:lvl w:ilvl="3" w:tplc="3F18C5DC">
      <w:start w:val="1"/>
      <w:numFmt w:val="lowerRoman"/>
      <w:lvlText w:val="(%4)"/>
      <w:lvlJc w:val="left"/>
      <w:pPr>
        <w:tabs>
          <w:tab w:val="num" w:pos="2880"/>
        </w:tabs>
        <w:ind w:left="2880" w:hanging="360"/>
      </w:pPr>
      <w:rPr>
        <w:rFonts w:hint="default"/>
      </w:rPr>
    </w:lvl>
    <w:lvl w:ilvl="4" w:tplc="1820F5F6">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CB2F0B"/>
    <w:multiLevelType w:val="hybridMultilevel"/>
    <w:tmpl w:val="CB7622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7230B"/>
    <w:multiLevelType w:val="hybridMultilevel"/>
    <w:tmpl w:val="5CE419D8"/>
    <w:lvl w:ilvl="0" w:tplc="89A6082E">
      <w:start w:val="1"/>
      <w:numFmt w:val="decimal"/>
      <w:lvlText w:val="%1."/>
      <w:lvlJc w:val="left"/>
      <w:pPr>
        <w:tabs>
          <w:tab w:val="num" w:pos="576"/>
        </w:tabs>
        <w:ind w:left="576" w:hanging="504"/>
      </w:pPr>
      <w:rPr>
        <w:rFonts w:hint="default"/>
      </w:rPr>
    </w:lvl>
    <w:lvl w:ilvl="1" w:tplc="F520646C">
      <w:start w:val="1"/>
      <w:numFmt w:val="lowerLetter"/>
      <w:lvlText w:val="%2) "/>
      <w:lvlJc w:val="left"/>
      <w:pPr>
        <w:tabs>
          <w:tab w:val="num" w:pos="0"/>
        </w:tabs>
        <w:ind w:left="1440" w:hanging="360"/>
      </w:pPr>
      <w:rPr>
        <w:rFonts w:ascii="LindeDaxOffice" w:hAnsi="LindeDaxOffice" w:hint="default"/>
        <w:b w:val="0"/>
        <w:i w:val="0"/>
        <w:sz w:val="24"/>
        <w:u w:val="none"/>
      </w:rPr>
    </w:lvl>
    <w:lvl w:ilvl="2" w:tplc="DF8A3B0A">
      <w:start w:val="1"/>
      <w:numFmt w:val="lowerLetter"/>
      <w:lvlText w:val="(%3)"/>
      <w:lvlJc w:val="left"/>
      <w:pPr>
        <w:tabs>
          <w:tab w:val="num" w:pos="2400"/>
        </w:tabs>
        <w:ind w:left="2400" w:hanging="420"/>
      </w:pPr>
      <w:rPr>
        <w:rFonts w:hint="default"/>
      </w:rPr>
    </w:lvl>
    <w:lvl w:ilvl="3" w:tplc="AE2AFB16">
      <w:start w:val="1"/>
      <w:numFmt w:val="lowerRoman"/>
      <w:lvlText w:val="%4."/>
      <w:lvlJc w:val="left"/>
      <w:pPr>
        <w:tabs>
          <w:tab w:val="num" w:pos="3240"/>
        </w:tabs>
        <w:ind w:left="3240" w:hanging="720"/>
      </w:pPr>
      <w:rPr>
        <w:rFonts w:ascii="LindeDaxOffice" w:hAnsi="LindeDaxOffice"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AD1CCF"/>
    <w:multiLevelType w:val="multilevel"/>
    <w:tmpl w:val="5CE419D8"/>
    <w:lvl w:ilvl="0">
      <w:start w:val="1"/>
      <w:numFmt w:val="decimal"/>
      <w:lvlText w:val="%1."/>
      <w:lvlJc w:val="left"/>
      <w:pPr>
        <w:tabs>
          <w:tab w:val="num" w:pos="576"/>
        </w:tabs>
        <w:ind w:left="576" w:hanging="504"/>
      </w:pPr>
      <w:rPr>
        <w:rFonts w:hint="default"/>
      </w:rPr>
    </w:lvl>
    <w:lvl w:ilvl="1">
      <w:start w:val="1"/>
      <w:numFmt w:val="lowerLetter"/>
      <w:lvlText w:val="%2) "/>
      <w:lvlJc w:val="left"/>
      <w:pPr>
        <w:tabs>
          <w:tab w:val="num" w:pos="0"/>
        </w:tabs>
        <w:ind w:left="1440" w:hanging="360"/>
      </w:pPr>
      <w:rPr>
        <w:rFonts w:ascii="LindeDaxOffice" w:hAnsi="LindeDaxOffice" w:hint="default"/>
        <w:b w:val="0"/>
        <w:i w:val="0"/>
        <w:sz w:val="24"/>
        <w:u w:val="none"/>
      </w:rPr>
    </w:lvl>
    <w:lvl w:ilvl="2">
      <w:start w:val="1"/>
      <w:numFmt w:val="lowerLetter"/>
      <w:lvlText w:val="(%3)"/>
      <w:lvlJc w:val="left"/>
      <w:pPr>
        <w:tabs>
          <w:tab w:val="num" w:pos="2400"/>
        </w:tabs>
        <w:ind w:left="2400" w:hanging="420"/>
      </w:pPr>
      <w:rPr>
        <w:rFonts w:hint="default"/>
      </w:rPr>
    </w:lvl>
    <w:lvl w:ilvl="3">
      <w:start w:val="1"/>
      <w:numFmt w:val="lowerRoman"/>
      <w:lvlText w:val="%4."/>
      <w:lvlJc w:val="left"/>
      <w:pPr>
        <w:tabs>
          <w:tab w:val="num" w:pos="3240"/>
        </w:tabs>
        <w:ind w:left="3240" w:hanging="720"/>
      </w:pPr>
      <w:rPr>
        <w:rFonts w:ascii="LindeDaxOffice" w:hAnsi="LindeDaxOffice"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9420F17"/>
    <w:multiLevelType w:val="multilevel"/>
    <w:tmpl w:val="D7489D1A"/>
    <w:lvl w:ilvl="0">
      <w:start w:val="1"/>
      <w:numFmt w:val="decimal"/>
      <w:lvlText w:val="%1."/>
      <w:lvlJc w:val="left"/>
      <w:pPr>
        <w:tabs>
          <w:tab w:val="num" w:pos="576"/>
        </w:tabs>
        <w:ind w:left="576"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812C44"/>
    <w:multiLevelType w:val="hybridMultilevel"/>
    <w:tmpl w:val="D7489D1A"/>
    <w:lvl w:ilvl="0" w:tplc="80A6DC5E">
      <w:start w:val="1"/>
      <w:numFmt w:val="decimal"/>
      <w:lvlText w:val="%1."/>
      <w:lvlJc w:val="left"/>
      <w:pPr>
        <w:tabs>
          <w:tab w:val="num" w:pos="576"/>
        </w:tabs>
        <w:ind w:left="576"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804A56"/>
    <w:multiLevelType w:val="hybridMultilevel"/>
    <w:tmpl w:val="E91695B2"/>
    <w:lvl w:ilvl="0" w:tplc="61626502">
      <w:start w:val="1"/>
      <w:numFmt w:val="lowerRoman"/>
      <w:lvlText w:val="%1."/>
      <w:lvlJc w:val="right"/>
      <w:pPr>
        <w:tabs>
          <w:tab w:val="num" w:pos="1260"/>
        </w:tabs>
        <w:ind w:left="1260" w:hanging="180"/>
      </w:pPr>
      <w:rPr>
        <w:rFonts w:hint="default"/>
      </w:rPr>
    </w:lvl>
    <w:lvl w:ilvl="1" w:tplc="4198EB5E">
      <w:start w:val="1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E25080E"/>
    <w:multiLevelType w:val="hybridMultilevel"/>
    <w:tmpl w:val="6218B158"/>
    <w:lvl w:ilvl="0" w:tplc="2750990A">
      <w:start w:val="1"/>
      <w:numFmt w:val="lowerRoman"/>
      <w:lvlText w:val="%1."/>
      <w:lvlJc w:val="right"/>
      <w:pPr>
        <w:tabs>
          <w:tab w:val="num" w:pos="252"/>
        </w:tabs>
        <w:ind w:left="252" w:hanging="180"/>
      </w:pPr>
      <w:rPr>
        <w:rFonts w:ascii="LindeDaxOffice" w:hAnsi="LindeDaxOffice"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B377FD"/>
    <w:multiLevelType w:val="multilevel"/>
    <w:tmpl w:val="93C215EA"/>
    <w:lvl w:ilvl="0">
      <w:start w:val="1"/>
      <w:numFmt w:val="lowerRoman"/>
      <w:lvlText w:val="%1."/>
      <w:lvlJc w:val="right"/>
      <w:pPr>
        <w:tabs>
          <w:tab w:val="num" w:pos="252"/>
        </w:tabs>
        <w:ind w:left="252"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529297B"/>
    <w:multiLevelType w:val="multilevel"/>
    <w:tmpl w:val="01FA3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6656DE9"/>
    <w:multiLevelType w:val="hybridMultilevel"/>
    <w:tmpl w:val="B83664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EE7437"/>
    <w:multiLevelType w:val="hybridMultilevel"/>
    <w:tmpl w:val="62CC9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111E8E"/>
    <w:multiLevelType w:val="hybridMultilevel"/>
    <w:tmpl w:val="9F40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F3462C"/>
    <w:multiLevelType w:val="singleLevel"/>
    <w:tmpl w:val="11B6F5A0"/>
    <w:lvl w:ilvl="0">
      <w:start w:val="1"/>
      <w:numFmt w:val="decimal"/>
      <w:lvlText w:val="%1) "/>
      <w:lvlJc w:val="left"/>
      <w:pPr>
        <w:tabs>
          <w:tab w:val="num" w:pos="0"/>
        </w:tabs>
        <w:ind w:left="360" w:hanging="360"/>
      </w:pPr>
      <w:rPr>
        <w:rFonts w:ascii="LindeDaxOffice" w:hAnsi="LindeDaxOffice" w:hint="default"/>
        <w:b w:val="0"/>
        <w:i w:val="0"/>
        <w:sz w:val="24"/>
        <w:u w:val="none"/>
      </w:rPr>
    </w:lvl>
  </w:abstractNum>
  <w:abstractNum w:abstractNumId="38" w15:restartNumberingAfterBreak="0">
    <w:nsid w:val="76F45307"/>
    <w:multiLevelType w:val="hybridMultilevel"/>
    <w:tmpl w:val="BAF61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4E2EFE"/>
    <w:multiLevelType w:val="hybridMultilevel"/>
    <w:tmpl w:val="97FC0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F6F66"/>
    <w:multiLevelType w:val="hybridMultilevel"/>
    <w:tmpl w:val="C9649602"/>
    <w:lvl w:ilvl="0" w:tplc="2750990A">
      <w:start w:val="1"/>
      <w:numFmt w:val="lowerRoman"/>
      <w:lvlText w:val="%1."/>
      <w:lvlJc w:val="right"/>
      <w:pPr>
        <w:tabs>
          <w:tab w:val="num" w:pos="252"/>
        </w:tabs>
        <w:ind w:left="252" w:hanging="180"/>
      </w:pPr>
      <w:rPr>
        <w:rFonts w:ascii="LindeDaxOffice" w:hAnsi="LindeDaxOffice"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771338"/>
    <w:multiLevelType w:val="hybridMultilevel"/>
    <w:tmpl w:val="641AAC5A"/>
    <w:lvl w:ilvl="0" w:tplc="CA6E940C">
      <w:start w:val="1"/>
      <w:numFmt w:val="decimal"/>
      <w:lvlText w:val="%1."/>
      <w:lvlJc w:val="left"/>
      <w:pPr>
        <w:tabs>
          <w:tab w:val="num" w:pos="360"/>
        </w:tabs>
        <w:ind w:left="360" w:hanging="360"/>
      </w:pPr>
      <w:rPr>
        <w:rFonts w:hint="default"/>
      </w:rPr>
    </w:lvl>
    <w:lvl w:ilvl="1" w:tplc="B7189564">
      <w:start w:val="1"/>
      <w:numFmt w:val="lowerRoman"/>
      <w:lvlText w:val="%2)"/>
      <w:lvlJc w:val="left"/>
      <w:pPr>
        <w:tabs>
          <w:tab w:val="num" w:pos="1800"/>
        </w:tabs>
        <w:ind w:left="1800" w:hanging="720"/>
      </w:pPr>
      <w:rPr>
        <w:rFonts w:hint="default"/>
      </w:rPr>
    </w:lvl>
    <w:lvl w:ilvl="2" w:tplc="9EB875C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5063B6"/>
    <w:multiLevelType w:val="hybridMultilevel"/>
    <w:tmpl w:val="E94A7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1126C"/>
    <w:multiLevelType w:val="hybridMultilevel"/>
    <w:tmpl w:val="F50EC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
  </w:num>
  <w:num w:numId="5">
    <w:abstractNumId w:val="8"/>
  </w:num>
  <w:num w:numId="6">
    <w:abstractNumId w:val="11"/>
  </w:num>
  <w:num w:numId="7">
    <w:abstractNumId w:val="33"/>
  </w:num>
  <w:num w:numId="8">
    <w:abstractNumId w:val="26"/>
  </w:num>
  <w:num w:numId="9">
    <w:abstractNumId w:val="14"/>
  </w:num>
  <w:num w:numId="10">
    <w:abstractNumId w:val="30"/>
  </w:num>
  <w:num w:numId="11">
    <w:abstractNumId w:val="41"/>
  </w:num>
  <w:num w:numId="12">
    <w:abstractNumId w:val="6"/>
  </w:num>
  <w:num w:numId="13">
    <w:abstractNumId w:val="13"/>
  </w:num>
  <w:num w:numId="14">
    <w:abstractNumId w:val="10"/>
  </w:num>
  <w:num w:numId="15">
    <w:abstractNumId w:val="24"/>
  </w:num>
  <w:num w:numId="16">
    <w:abstractNumId w:val="21"/>
  </w:num>
  <w:num w:numId="17">
    <w:abstractNumId w:val="0"/>
  </w:num>
  <w:num w:numId="18">
    <w:abstractNumId w:val="22"/>
  </w:num>
  <w:num w:numId="19">
    <w:abstractNumId w:val="9"/>
  </w:num>
  <w:num w:numId="20">
    <w:abstractNumId w:val="12"/>
  </w:num>
  <w:num w:numId="21">
    <w:abstractNumId w:val="32"/>
  </w:num>
  <w:num w:numId="22">
    <w:abstractNumId w:val="40"/>
  </w:num>
  <w:num w:numId="23">
    <w:abstractNumId w:val="31"/>
  </w:num>
  <w:num w:numId="24">
    <w:abstractNumId w:val="5"/>
  </w:num>
  <w:num w:numId="25">
    <w:abstractNumId w:val="23"/>
  </w:num>
  <w:num w:numId="26">
    <w:abstractNumId w:val="16"/>
  </w:num>
  <w:num w:numId="27">
    <w:abstractNumId w:val="27"/>
  </w:num>
  <w:num w:numId="28">
    <w:abstractNumId w:val="29"/>
  </w:num>
  <w:num w:numId="29">
    <w:abstractNumId w:val="28"/>
  </w:num>
  <w:num w:numId="30">
    <w:abstractNumId w:val="15"/>
  </w:num>
  <w:num w:numId="31">
    <w:abstractNumId w:val="18"/>
  </w:num>
  <w:num w:numId="32">
    <w:abstractNumId w:val="20"/>
  </w:num>
  <w:num w:numId="33">
    <w:abstractNumId w:val="39"/>
  </w:num>
  <w:num w:numId="34">
    <w:abstractNumId w:val="42"/>
  </w:num>
  <w:num w:numId="35">
    <w:abstractNumId w:val="4"/>
  </w:num>
  <w:num w:numId="36">
    <w:abstractNumId w:val="37"/>
  </w:num>
  <w:num w:numId="37">
    <w:abstractNumId w:val="19"/>
  </w:num>
  <w:num w:numId="38">
    <w:abstractNumId w:val="2"/>
  </w:num>
  <w:num w:numId="39">
    <w:abstractNumId w:val="43"/>
  </w:num>
  <w:num w:numId="40">
    <w:abstractNumId w:val="17"/>
  </w:num>
  <w:num w:numId="41">
    <w:abstractNumId w:val="3"/>
  </w:num>
  <w:num w:numId="42">
    <w:abstractNumId w:val="36"/>
  </w:num>
  <w:num w:numId="43">
    <w:abstractNumId w:val="7"/>
  </w:num>
  <w:num w:numId="44">
    <w:abstractNumId w:val="2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92"/>
    <w:rsid w:val="00001E35"/>
    <w:rsid w:val="0000277B"/>
    <w:rsid w:val="00005DA0"/>
    <w:rsid w:val="00005DC5"/>
    <w:rsid w:val="000061F9"/>
    <w:rsid w:val="0000682D"/>
    <w:rsid w:val="00016032"/>
    <w:rsid w:val="000222B5"/>
    <w:rsid w:val="0002270B"/>
    <w:rsid w:val="000243BC"/>
    <w:rsid w:val="000375C4"/>
    <w:rsid w:val="00043291"/>
    <w:rsid w:val="00045B8D"/>
    <w:rsid w:val="00047EE8"/>
    <w:rsid w:val="00054F9C"/>
    <w:rsid w:val="000602D1"/>
    <w:rsid w:val="00064CBC"/>
    <w:rsid w:val="000720D5"/>
    <w:rsid w:val="00072368"/>
    <w:rsid w:val="00073C65"/>
    <w:rsid w:val="00080E4B"/>
    <w:rsid w:val="00081E0F"/>
    <w:rsid w:val="00083DF2"/>
    <w:rsid w:val="0008465F"/>
    <w:rsid w:val="00085DF9"/>
    <w:rsid w:val="000862AD"/>
    <w:rsid w:val="00090A49"/>
    <w:rsid w:val="000936CA"/>
    <w:rsid w:val="00095FA0"/>
    <w:rsid w:val="00097A18"/>
    <w:rsid w:val="000B170C"/>
    <w:rsid w:val="000B4306"/>
    <w:rsid w:val="000B5366"/>
    <w:rsid w:val="000C01FA"/>
    <w:rsid w:val="000C1986"/>
    <w:rsid w:val="000C6446"/>
    <w:rsid w:val="000D63ED"/>
    <w:rsid w:val="000E59E5"/>
    <w:rsid w:val="000E5C30"/>
    <w:rsid w:val="000E5E2A"/>
    <w:rsid w:val="000F3250"/>
    <w:rsid w:val="000F5D7B"/>
    <w:rsid w:val="00114BC4"/>
    <w:rsid w:val="001203CA"/>
    <w:rsid w:val="00121382"/>
    <w:rsid w:val="00125C5E"/>
    <w:rsid w:val="0014537A"/>
    <w:rsid w:val="00146C57"/>
    <w:rsid w:val="00146FB3"/>
    <w:rsid w:val="00147900"/>
    <w:rsid w:val="0015124D"/>
    <w:rsid w:val="001556BC"/>
    <w:rsid w:val="001576B0"/>
    <w:rsid w:val="001646BC"/>
    <w:rsid w:val="001667D0"/>
    <w:rsid w:val="0017031F"/>
    <w:rsid w:val="00181155"/>
    <w:rsid w:val="00184B62"/>
    <w:rsid w:val="001944A7"/>
    <w:rsid w:val="00196521"/>
    <w:rsid w:val="00196F40"/>
    <w:rsid w:val="001A30C1"/>
    <w:rsid w:val="001B216D"/>
    <w:rsid w:val="001B26B3"/>
    <w:rsid w:val="001B7C00"/>
    <w:rsid w:val="001C3FC3"/>
    <w:rsid w:val="001D1024"/>
    <w:rsid w:val="001D201D"/>
    <w:rsid w:val="001D63B2"/>
    <w:rsid w:val="001E433E"/>
    <w:rsid w:val="001F573B"/>
    <w:rsid w:val="00201EEE"/>
    <w:rsid w:val="0020222E"/>
    <w:rsid w:val="00203812"/>
    <w:rsid w:val="00205E8F"/>
    <w:rsid w:val="00210D12"/>
    <w:rsid w:val="00215FE7"/>
    <w:rsid w:val="00224316"/>
    <w:rsid w:val="00235362"/>
    <w:rsid w:val="002434A7"/>
    <w:rsid w:val="002450C5"/>
    <w:rsid w:val="00247256"/>
    <w:rsid w:val="00247682"/>
    <w:rsid w:val="002642C7"/>
    <w:rsid w:val="00271FD8"/>
    <w:rsid w:val="00282054"/>
    <w:rsid w:val="002A0F5F"/>
    <w:rsid w:val="002B212D"/>
    <w:rsid w:val="002C6E7E"/>
    <w:rsid w:val="002D1385"/>
    <w:rsid w:val="002D1E0B"/>
    <w:rsid w:val="002D69A1"/>
    <w:rsid w:val="002E3D0C"/>
    <w:rsid w:val="002F0941"/>
    <w:rsid w:val="002F5EBB"/>
    <w:rsid w:val="003009FA"/>
    <w:rsid w:val="003014FA"/>
    <w:rsid w:val="003029FC"/>
    <w:rsid w:val="003066B8"/>
    <w:rsid w:val="00307B0F"/>
    <w:rsid w:val="003144B1"/>
    <w:rsid w:val="00332019"/>
    <w:rsid w:val="00363EF6"/>
    <w:rsid w:val="00370DF3"/>
    <w:rsid w:val="00377002"/>
    <w:rsid w:val="00381352"/>
    <w:rsid w:val="00391856"/>
    <w:rsid w:val="003B1178"/>
    <w:rsid w:val="003B16FB"/>
    <w:rsid w:val="003B272A"/>
    <w:rsid w:val="003B3038"/>
    <w:rsid w:val="003C711B"/>
    <w:rsid w:val="003E0806"/>
    <w:rsid w:val="003E16B1"/>
    <w:rsid w:val="003E2D3F"/>
    <w:rsid w:val="003F1E26"/>
    <w:rsid w:val="003F6B53"/>
    <w:rsid w:val="00412559"/>
    <w:rsid w:val="004125CE"/>
    <w:rsid w:val="00412F01"/>
    <w:rsid w:val="004176DD"/>
    <w:rsid w:val="004222A3"/>
    <w:rsid w:val="00426007"/>
    <w:rsid w:val="00431A4C"/>
    <w:rsid w:val="00432F66"/>
    <w:rsid w:val="00433A7E"/>
    <w:rsid w:val="00434954"/>
    <w:rsid w:val="0044223E"/>
    <w:rsid w:val="00443B32"/>
    <w:rsid w:val="00444ABE"/>
    <w:rsid w:val="00445A0A"/>
    <w:rsid w:val="0045158E"/>
    <w:rsid w:val="00461B23"/>
    <w:rsid w:val="00465D84"/>
    <w:rsid w:val="004678C2"/>
    <w:rsid w:val="0046797B"/>
    <w:rsid w:val="00470CD5"/>
    <w:rsid w:val="004711B1"/>
    <w:rsid w:val="0047256E"/>
    <w:rsid w:val="00473864"/>
    <w:rsid w:val="004762C2"/>
    <w:rsid w:val="0048155E"/>
    <w:rsid w:val="00484927"/>
    <w:rsid w:val="00491B96"/>
    <w:rsid w:val="00492271"/>
    <w:rsid w:val="004928D5"/>
    <w:rsid w:val="004957DC"/>
    <w:rsid w:val="004A06C5"/>
    <w:rsid w:val="004C3783"/>
    <w:rsid w:val="004C4406"/>
    <w:rsid w:val="004C6E91"/>
    <w:rsid w:val="004D3EAB"/>
    <w:rsid w:val="004D62C1"/>
    <w:rsid w:val="004D7DDF"/>
    <w:rsid w:val="004F4427"/>
    <w:rsid w:val="004F5FC1"/>
    <w:rsid w:val="004F6785"/>
    <w:rsid w:val="00501EE8"/>
    <w:rsid w:val="005041AF"/>
    <w:rsid w:val="00505C1A"/>
    <w:rsid w:val="00511E6D"/>
    <w:rsid w:val="00513F5B"/>
    <w:rsid w:val="00515401"/>
    <w:rsid w:val="00521961"/>
    <w:rsid w:val="00533E46"/>
    <w:rsid w:val="00541703"/>
    <w:rsid w:val="005444B1"/>
    <w:rsid w:val="00547DFC"/>
    <w:rsid w:val="00550BB4"/>
    <w:rsid w:val="00555430"/>
    <w:rsid w:val="00556225"/>
    <w:rsid w:val="00562A90"/>
    <w:rsid w:val="00563FB3"/>
    <w:rsid w:val="00564FED"/>
    <w:rsid w:val="00565A7A"/>
    <w:rsid w:val="00571356"/>
    <w:rsid w:val="005730FF"/>
    <w:rsid w:val="00574A22"/>
    <w:rsid w:val="005833A0"/>
    <w:rsid w:val="00593118"/>
    <w:rsid w:val="00593919"/>
    <w:rsid w:val="005A0B64"/>
    <w:rsid w:val="005A637B"/>
    <w:rsid w:val="005B1533"/>
    <w:rsid w:val="005B3E3B"/>
    <w:rsid w:val="005C28AA"/>
    <w:rsid w:val="005C4B92"/>
    <w:rsid w:val="005E0E37"/>
    <w:rsid w:val="005E277E"/>
    <w:rsid w:val="005E3070"/>
    <w:rsid w:val="005E6847"/>
    <w:rsid w:val="005F32A3"/>
    <w:rsid w:val="005F4E11"/>
    <w:rsid w:val="00603993"/>
    <w:rsid w:val="006060E1"/>
    <w:rsid w:val="00617140"/>
    <w:rsid w:val="0062047D"/>
    <w:rsid w:val="00630011"/>
    <w:rsid w:val="00636823"/>
    <w:rsid w:val="00646F6C"/>
    <w:rsid w:val="00656818"/>
    <w:rsid w:val="006755C6"/>
    <w:rsid w:val="006756FD"/>
    <w:rsid w:val="006851AC"/>
    <w:rsid w:val="00691F48"/>
    <w:rsid w:val="006958BF"/>
    <w:rsid w:val="00696BEE"/>
    <w:rsid w:val="006A3355"/>
    <w:rsid w:val="006A5D83"/>
    <w:rsid w:val="006A648A"/>
    <w:rsid w:val="006A7530"/>
    <w:rsid w:val="006B7D72"/>
    <w:rsid w:val="006C05C3"/>
    <w:rsid w:val="006C37C8"/>
    <w:rsid w:val="006D0D05"/>
    <w:rsid w:val="006D5815"/>
    <w:rsid w:val="006D6B66"/>
    <w:rsid w:val="006E238B"/>
    <w:rsid w:val="006E24FB"/>
    <w:rsid w:val="006F0572"/>
    <w:rsid w:val="006F23BD"/>
    <w:rsid w:val="006F25DD"/>
    <w:rsid w:val="006F45B4"/>
    <w:rsid w:val="006F7E35"/>
    <w:rsid w:val="00704626"/>
    <w:rsid w:val="00747CE6"/>
    <w:rsid w:val="0075182D"/>
    <w:rsid w:val="00752839"/>
    <w:rsid w:val="007538EB"/>
    <w:rsid w:val="00753BF2"/>
    <w:rsid w:val="007612AB"/>
    <w:rsid w:val="007624E0"/>
    <w:rsid w:val="00763612"/>
    <w:rsid w:val="00772985"/>
    <w:rsid w:val="00773CBD"/>
    <w:rsid w:val="00777C73"/>
    <w:rsid w:val="00783F79"/>
    <w:rsid w:val="00787D02"/>
    <w:rsid w:val="007910A7"/>
    <w:rsid w:val="007919D4"/>
    <w:rsid w:val="0079480C"/>
    <w:rsid w:val="00796071"/>
    <w:rsid w:val="007A1D35"/>
    <w:rsid w:val="007A5D3A"/>
    <w:rsid w:val="007B7B3E"/>
    <w:rsid w:val="007C3AC2"/>
    <w:rsid w:val="007D0F7D"/>
    <w:rsid w:val="007D77A5"/>
    <w:rsid w:val="007E17B0"/>
    <w:rsid w:val="007E64E0"/>
    <w:rsid w:val="007F1D92"/>
    <w:rsid w:val="007F211A"/>
    <w:rsid w:val="007F3F64"/>
    <w:rsid w:val="00800EC7"/>
    <w:rsid w:val="00814E9D"/>
    <w:rsid w:val="00816900"/>
    <w:rsid w:val="00817D1B"/>
    <w:rsid w:val="0082023F"/>
    <w:rsid w:val="00835D46"/>
    <w:rsid w:val="008407D8"/>
    <w:rsid w:val="008426CC"/>
    <w:rsid w:val="00845826"/>
    <w:rsid w:val="008513AD"/>
    <w:rsid w:val="00852A4D"/>
    <w:rsid w:val="00852F8C"/>
    <w:rsid w:val="00854BDA"/>
    <w:rsid w:val="00854DB3"/>
    <w:rsid w:val="00857FFC"/>
    <w:rsid w:val="00867946"/>
    <w:rsid w:val="00880094"/>
    <w:rsid w:val="008827FC"/>
    <w:rsid w:val="00884243"/>
    <w:rsid w:val="00884723"/>
    <w:rsid w:val="008875D6"/>
    <w:rsid w:val="008A3DA9"/>
    <w:rsid w:val="008B1BB4"/>
    <w:rsid w:val="008B767D"/>
    <w:rsid w:val="008C19E1"/>
    <w:rsid w:val="008C1D41"/>
    <w:rsid w:val="008C2829"/>
    <w:rsid w:val="008C2CEC"/>
    <w:rsid w:val="008D1039"/>
    <w:rsid w:val="008D246E"/>
    <w:rsid w:val="008D3A9E"/>
    <w:rsid w:val="008E3586"/>
    <w:rsid w:val="008F09BE"/>
    <w:rsid w:val="008F7A55"/>
    <w:rsid w:val="00901FFD"/>
    <w:rsid w:val="00902969"/>
    <w:rsid w:val="00910054"/>
    <w:rsid w:val="00912E14"/>
    <w:rsid w:val="00917407"/>
    <w:rsid w:val="009231F0"/>
    <w:rsid w:val="00924A5C"/>
    <w:rsid w:val="009343C7"/>
    <w:rsid w:val="00934C0F"/>
    <w:rsid w:val="00937276"/>
    <w:rsid w:val="00941305"/>
    <w:rsid w:val="00953F3E"/>
    <w:rsid w:val="00954892"/>
    <w:rsid w:val="009653CF"/>
    <w:rsid w:val="009712A8"/>
    <w:rsid w:val="00972228"/>
    <w:rsid w:val="00977696"/>
    <w:rsid w:val="00983A61"/>
    <w:rsid w:val="00984878"/>
    <w:rsid w:val="009A735F"/>
    <w:rsid w:val="009B6365"/>
    <w:rsid w:val="009D55C5"/>
    <w:rsid w:val="009E77DA"/>
    <w:rsid w:val="00A01706"/>
    <w:rsid w:val="00A12020"/>
    <w:rsid w:val="00A13D67"/>
    <w:rsid w:val="00A16F9A"/>
    <w:rsid w:val="00A223E7"/>
    <w:rsid w:val="00A35822"/>
    <w:rsid w:val="00A51E9C"/>
    <w:rsid w:val="00A57979"/>
    <w:rsid w:val="00A61D2D"/>
    <w:rsid w:val="00A64CE6"/>
    <w:rsid w:val="00A64E09"/>
    <w:rsid w:val="00A675EE"/>
    <w:rsid w:val="00A718CA"/>
    <w:rsid w:val="00A734B7"/>
    <w:rsid w:val="00A82350"/>
    <w:rsid w:val="00AA6987"/>
    <w:rsid w:val="00AB3C43"/>
    <w:rsid w:val="00AB5B8E"/>
    <w:rsid w:val="00AC2C8E"/>
    <w:rsid w:val="00AC5AD5"/>
    <w:rsid w:val="00AC5B01"/>
    <w:rsid w:val="00AC66D5"/>
    <w:rsid w:val="00AD32C5"/>
    <w:rsid w:val="00AE0B2A"/>
    <w:rsid w:val="00AE28A7"/>
    <w:rsid w:val="00AE545B"/>
    <w:rsid w:val="00AF19E9"/>
    <w:rsid w:val="00AF2AD3"/>
    <w:rsid w:val="00AF4C0C"/>
    <w:rsid w:val="00B027E7"/>
    <w:rsid w:val="00B070F6"/>
    <w:rsid w:val="00B0752A"/>
    <w:rsid w:val="00B101CB"/>
    <w:rsid w:val="00B13035"/>
    <w:rsid w:val="00B23C1E"/>
    <w:rsid w:val="00B3352C"/>
    <w:rsid w:val="00B350EA"/>
    <w:rsid w:val="00B36D59"/>
    <w:rsid w:val="00B40303"/>
    <w:rsid w:val="00B51F26"/>
    <w:rsid w:val="00B549B9"/>
    <w:rsid w:val="00B55AB2"/>
    <w:rsid w:val="00B56DE4"/>
    <w:rsid w:val="00B57CBA"/>
    <w:rsid w:val="00B61F5F"/>
    <w:rsid w:val="00B63E33"/>
    <w:rsid w:val="00B64B50"/>
    <w:rsid w:val="00B66F9F"/>
    <w:rsid w:val="00B744FF"/>
    <w:rsid w:val="00B74AF7"/>
    <w:rsid w:val="00B75B7C"/>
    <w:rsid w:val="00B81F4C"/>
    <w:rsid w:val="00B82BAB"/>
    <w:rsid w:val="00B833FD"/>
    <w:rsid w:val="00B83794"/>
    <w:rsid w:val="00B84070"/>
    <w:rsid w:val="00B912F6"/>
    <w:rsid w:val="00B97EE3"/>
    <w:rsid w:val="00BA0B83"/>
    <w:rsid w:val="00BB3F43"/>
    <w:rsid w:val="00BC0C0C"/>
    <w:rsid w:val="00BC1AE0"/>
    <w:rsid w:val="00BC6583"/>
    <w:rsid w:val="00BC6721"/>
    <w:rsid w:val="00BD3389"/>
    <w:rsid w:val="00BE1CDB"/>
    <w:rsid w:val="00BE5426"/>
    <w:rsid w:val="00BE7C1B"/>
    <w:rsid w:val="00BF4F40"/>
    <w:rsid w:val="00BF5808"/>
    <w:rsid w:val="00BF693D"/>
    <w:rsid w:val="00C012A4"/>
    <w:rsid w:val="00C04AF3"/>
    <w:rsid w:val="00C060D8"/>
    <w:rsid w:val="00C270A9"/>
    <w:rsid w:val="00C31D28"/>
    <w:rsid w:val="00C349A3"/>
    <w:rsid w:val="00C42702"/>
    <w:rsid w:val="00C46450"/>
    <w:rsid w:val="00C62717"/>
    <w:rsid w:val="00C6455E"/>
    <w:rsid w:val="00C804C1"/>
    <w:rsid w:val="00C85F3C"/>
    <w:rsid w:val="00C879A7"/>
    <w:rsid w:val="00C955F0"/>
    <w:rsid w:val="00CA0D87"/>
    <w:rsid w:val="00CA7141"/>
    <w:rsid w:val="00CB0C6A"/>
    <w:rsid w:val="00CB52CD"/>
    <w:rsid w:val="00CB53CF"/>
    <w:rsid w:val="00CC05A3"/>
    <w:rsid w:val="00CC6FA2"/>
    <w:rsid w:val="00CD3B77"/>
    <w:rsid w:val="00CD484C"/>
    <w:rsid w:val="00CE2A1A"/>
    <w:rsid w:val="00CE2ABA"/>
    <w:rsid w:val="00CE34C0"/>
    <w:rsid w:val="00CE357B"/>
    <w:rsid w:val="00CE582D"/>
    <w:rsid w:val="00CE6D02"/>
    <w:rsid w:val="00CE72FC"/>
    <w:rsid w:val="00CF3C89"/>
    <w:rsid w:val="00D0502B"/>
    <w:rsid w:val="00D061F7"/>
    <w:rsid w:val="00D121A7"/>
    <w:rsid w:val="00D13DF9"/>
    <w:rsid w:val="00D30421"/>
    <w:rsid w:val="00D33E6D"/>
    <w:rsid w:val="00D422F6"/>
    <w:rsid w:val="00D43791"/>
    <w:rsid w:val="00D561E3"/>
    <w:rsid w:val="00D8038E"/>
    <w:rsid w:val="00D8471E"/>
    <w:rsid w:val="00D8765E"/>
    <w:rsid w:val="00D911E0"/>
    <w:rsid w:val="00DB2137"/>
    <w:rsid w:val="00DD05EC"/>
    <w:rsid w:val="00DD0D02"/>
    <w:rsid w:val="00DD0F0F"/>
    <w:rsid w:val="00DD643F"/>
    <w:rsid w:val="00DE7A40"/>
    <w:rsid w:val="00DF2418"/>
    <w:rsid w:val="00DF3556"/>
    <w:rsid w:val="00DF3B4D"/>
    <w:rsid w:val="00E00077"/>
    <w:rsid w:val="00E03F17"/>
    <w:rsid w:val="00E053FE"/>
    <w:rsid w:val="00E11599"/>
    <w:rsid w:val="00E229D1"/>
    <w:rsid w:val="00E328B5"/>
    <w:rsid w:val="00E3364C"/>
    <w:rsid w:val="00E452F2"/>
    <w:rsid w:val="00E51C9E"/>
    <w:rsid w:val="00E547FC"/>
    <w:rsid w:val="00E603C7"/>
    <w:rsid w:val="00E71AD2"/>
    <w:rsid w:val="00E723F3"/>
    <w:rsid w:val="00E81ABA"/>
    <w:rsid w:val="00E85EE5"/>
    <w:rsid w:val="00E945B5"/>
    <w:rsid w:val="00EA4171"/>
    <w:rsid w:val="00EB18DB"/>
    <w:rsid w:val="00EB2832"/>
    <w:rsid w:val="00EC2B40"/>
    <w:rsid w:val="00ED6557"/>
    <w:rsid w:val="00EE05A0"/>
    <w:rsid w:val="00EF0FC7"/>
    <w:rsid w:val="00EF1E4F"/>
    <w:rsid w:val="00EF47AC"/>
    <w:rsid w:val="00F04993"/>
    <w:rsid w:val="00F06AE7"/>
    <w:rsid w:val="00F14828"/>
    <w:rsid w:val="00F14F65"/>
    <w:rsid w:val="00F22B49"/>
    <w:rsid w:val="00F22D14"/>
    <w:rsid w:val="00F33CCD"/>
    <w:rsid w:val="00F35424"/>
    <w:rsid w:val="00F3660B"/>
    <w:rsid w:val="00F37232"/>
    <w:rsid w:val="00F42C98"/>
    <w:rsid w:val="00F45F5F"/>
    <w:rsid w:val="00F62176"/>
    <w:rsid w:val="00F63999"/>
    <w:rsid w:val="00F6520C"/>
    <w:rsid w:val="00F70368"/>
    <w:rsid w:val="00F741AD"/>
    <w:rsid w:val="00F77331"/>
    <w:rsid w:val="00F8189C"/>
    <w:rsid w:val="00F85621"/>
    <w:rsid w:val="00F85635"/>
    <w:rsid w:val="00F85EF7"/>
    <w:rsid w:val="00F870C3"/>
    <w:rsid w:val="00F9496B"/>
    <w:rsid w:val="00F94B15"/>
    <w:rsid w:val="00F960E0"/>
    <w:rsid w:val="00FA07B1"/>
    <w:rsid w:val="00FA35D8"/>
    <w:rsid w:val="00FA48D0"/>
    <w:rsid w:val="00FB09DA"/>
    <w:rsid w:val="00FB19E8"/>
    <w:rsid w:val="00FC0323"/>
    <w:rsid w:val="00FC77B8"/>
    <w:rsid w:val="00FD6D60"/>
    <w:rsid w:val="00FE2D8D"/>
    <w:rsid w:val="00FE4EC8"/>
    <w:rsid w:val="00FE7555"/>
    <w:rsid w:val="00FF1993"/>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9E1DE"/>
  <w15:chartTrackingRefBased/>
  <w15:docId w15:val="{CD666F15-4E8A-45C4-9109-2339BE52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678C2"/>
    <w:pPr>
      <w:keepNext/>
      <w:jc w:val="center"/>
      <w:outlineLvl w:val="0"/>
    </w:pPr>
    <w:rPr>
      <w:b/>
      <w:szCs w:val="20"/>
      <w:u w:val="single"/>
      <w:lang w:val="en-GB" w:eastAsia="ja-JP"/>
    </w:rPr>
  </w:style>
  <w:style w:type="paragraph" w:styleId="Heading2">
    <w:name w:val="heading 2"/>
    <w:basedOn w:val="Normal"/>
    <w:next w:val="Normal"/>
    <w:link w:val="Heading2Char"/>
    <w:semiHidden/>
    <w:unhideWhenUsed/>
    <w:qFormat/>
    <w:rsid w:val="005E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678C2"/>
    <w:pPr>
      <w:keepNext/>
      <w:tabs>
        <w:tab w:val="left" w:pos="-720"/>
        <w:tab w:val="left" w:pos="0"/>
      </w:tabs>
      <w:ind w:left="720" w:right="288" w:hanging="720"/>
      <w:jc w:val="both"/>
      <w:outlineLvl w:val="2"/>
    </w:pPr>
    <w:rPr>
      <w:szCs w:val="20"/>
      <w:lang w:val="en-GB" w:eastAsia="ja-JP"/>
    </w:rPr>
  </w:style>
  <w:style w:type="paragraph" w:styleId="Heading4">
    <w:name w:val="heading 4"/>
    <w:basedOn w:val="Normal"/>
    <w:next w:val="Normal"/>
    <w:qFormat/>
    <w:rsid w:val="0018115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7D72"/>
    <w:pPr>
      <w:tabs>
        <w:tab w:val="center" w:pos="4320"/>
        <w:tab w:val="right" w:pos="8640"/>
      </w:tabs>
    </w:pPr>
  </w:style>
  <w:style w:type="paragraph" w:styleId="Footer">
    <w:name w:val="footer"/>
    <w:basedOn w:val="Normal"/>
    <w:link w:val="FooterChar"/>
    <w:uiPriority w:val="99"/>
    <w:rsid w:val="006B7D72"/>
    <w:pPr>
      <w:tabs>
        <w:tab w:val="center" w:pos="4320"/>
        <w:tab w:val="right" w:pos="8640"/>
      </w:tabs>
    </w:pPr>
  </w:style>
  <w:style w:type="table" w:styleId="TableGrid">
    <w:name w:val="Table Grid"/>
    <w:basedOn w:val="TableNormal"/>
    <w:rsid w:val="00965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4F65"/>
    <w:rPr>
      <w:rFonts w:ascii="Tahoma" w:hAnsi="Tahoma" w:cs="Tahoma"/>
      <w:sz w:val="16"/>
      <w:szCs w:val="16"/>
    </w:rPr>
  </w:style>
  <w:style w:type="paragraph" w:styleId="BodyTextIndent2">
    <w:name w:val="Body Text Indent 2"/>
    <w:basedOn w:val="Normal"/>
    <w:rsid w:val="004678C2"/>
    <w:pPr>
      <w:ind w:firstLine="342"/>
    </w:pPr>
    <w:rPr>
      <w:b/>
      <w:sz w:val="20"/>
      <w:szCs w:val="20"/>
      <w:lang w:val="en-GB" w:eastAsia="ja-JP"/>
    </w:rPr>
  </w:style>
  <w:style w:type="paragraph" w:styleId="BodyTextIndent3">
    <w:name w:val="Body Text Indent 3"/>
    <w:basedOn w:val="Normal"/>
    <w:rsid w:val="004678C2"/>
    <w:pPr>
      <w:ind w:left="375"/>
      <w:jc w:val="both"/>
    </w:pPr>
    <w:rPr>
      <w:szCs w:val="20"/>
      <w:lang w:val="en-GB" w:eastAsia="ja-JP"/>
    </w:rPr>
  </w:style>
  <w:style w:type="paragraph" w:styleId="BodyTextIndent">
    <w:name w:val="Body Text Indent"/>
    <w:basedOn w:val="Normal"/>
    <w:rsid w:val="004678C2"/>
    <w:pPr>
      <w:ind w:left="390"/>
      <w:jc w:val="both"/>
    </w:pPr>
    <w:rPr>
      <w:szCs w:val="20"/>
      <w:lang w:val="en-GB" w:eastAsia="ja-JP"/>
    </w:rPr>
  </w:style>
  <w:style w:type="paragraph" w:styleId="BodyText">
    <w:name w:val="Body Text"/>
    <w:basedOn w:val="Normal"/>
    <w:rsid w:val="00704626"/>
    <w:pPr>
      <w:spacing w:after="120"/>
    </w:pPr>
  </w:style>
  <w:style w:type="character" w:customStyle="1" w:styleId="FooterChar">
    <w:name w:val="Footer Char"/>
    <w:link w:val="Footer"/>
    <w:uiPriority w:val="99"/>
    <w:rsid w:val="00F37232"/>
    <w:rPr>
      <w:sz w:val="24"/>
      <w:szCs w:val="24"/>
    </w:rPr>
  </w:style>
  <w:style w:type="paragraph" w:styleId="Title">
    <w:name w:val="Title"/>
    <w:basedOn w:val="Normal"/>
    <w:link w:val="TitleChar"/>
    <w:qFormat/>
    <w:rsid w:val="00B75B7C"/>
    <w:pPr>
      <w:jc w:val="center"/>
    </w:pPr>
    <w:rPr>
      <w:b/>
      <w:sz w:val="30"/>
      <w:szCs w:val="20"/>
      <w:u w:val="single"/>
      <w:lang w:val="en-GB"/>
    </w:rPr>
  </w:style>
  <w:style w:type="character" w:customStyle="1" w:styleId="TitleChar">
    <w:name w:val="Title Char"/>
    <w:link w:val="Title"/>
    <w:rsid w:val="00B75B7C"/>
    <w:rPr>
      <w:b/>
      <w:sz w:val="30"/>
      <w:u w:val="single"/>
      <w:lang w:val="en-GB"/>
    </w:rPr>
  </w:style>
  <w:style w:type="character" w:customStyle="1" w:styleId="Heading2Char">
    <w:name w:val="Heading 2 Char"/>
    <w:link w:val="Heading2"/>
    <w:semiHidden/>
    <w:rsid w:val="005E6847"/>
    <w:rPr>
      <w:rFonts w:ascii="Cambria" w:eastAsia="Times New Roman" w:hAnsi="Cambria" w:cs="Times New Roman"/>
      <w:b/>
      <w:bCs/>
      <w:i/>
      <w:iCs/>
      <w:sz w:val="28"/>
      <w:szCs w:val="28"/>
    </w:rPr>
  </w:style>
  <w:style w:type="character" w:customStyle="1" w:styleId="Heading3Char">
    <w:name w:val="Heading 3 Char"/>
    <w:link w:val="Heading3"/>
    <w:rsid w:val="004928D5"/>
    <w:rPr>
      <w:sz w:val="24"/>
      <w:lang w:val="en-GB" w:eastAsia="ja-JP"/>
    </w:rPr>
  </w:style>
  <w:style w:type="paragraph" w:styleId="ListParagraph">
    <w:name w:val="List Paragraph"/>
    <w:basedOn w:val="Normal"/>
    <w:uiPriority w:val="34"/>
    <w:qFormat/>
    <w:rsid w:val="00B744FF"/>
    <w:pPr>
      <w:ind w:left="720"/>
    </w:pPr>
    <w:rPr>
      <w:sz w:val="20"/>
      <w:szCs w:val="20"/>
      <w:lang w:val="en-GB" w:eastAsia="ja-JP"/>
    </w:rPr>
  </w:style>
  <w:style w:type="character" w:customStyle="1" w:styleId="HeaderChar">
    <w:name w:val="Header Char"/>
    <w:link w:val="Header"/>
    <w:uiPriority w:val="99"/>
    <w:rsid w:val="00533E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2091">
      <w:bodyDiv w:val="1"/>
      <w:marLeft w:val="0"/>
      <w:marRight w:val="0"/>
      <w:marTop w:val="0"/>
      <w:marBottom w:val="0"/>
      <w:divBdr>
        <w:top w:val="none" w:sz="0" w:space="0" w:color="auto"/>
        <w:left w:val="none" w:sz="0" w:space="0" w:color="auto"/>
        <w:bottom w:val="none" w:sz="0" w:space="0" w:color="auto"/>
        <w:right w:val="none" w:sz="0" w:space="0" w:color="auto"/>
      </w:divBdr>
    </w:div>
    <w:div w:id="837422212">
      <w:bodyDiv w:val="1"/>
      <w:marLeft w:val="0"/>
      <w:marRight w:val="0"/>
      <w:marTop w:val="0"/>
      <w:marBottom w:val="0"/>
      <w:divBdr>
        <w:top w:val="none" w:sz="0" w:space="0" w:color="auto"/>
        <w:left w:val="none" w:sz="0" w:space="0" w:color="auto"/>
        <w:bottom w:val="none" w:sz="0" w:space="0" w:color="auto"/>
        <w:right w:val="none" w:sz="0" w:space="0" w:color="auto"/>
      </w:divBdr>
    </w:div>
    <w:div w:id="1188526259">
      <w:bodyDiv w:val="1"/>
      <w:marLeft w:val="0"/>
      <w:marRight w:val="0"/>
      <w:marTop w:val="0"/>
      <w:marBottom w:val="0"/>
      <w:divBdr>
        <w:top w:val="none" w:sz="0" w:space="0" w:color="auto"/>
        <w:left w:val="none" w:sz="0" w:space="0" w:color="auto"/>
        <w:bottom w:val="none" w:sz="0" w:space="0" w:color="auto"/>
        <w:right w:val="none" w:sz="0" w:space="0" w:color="auto"/>
      </w:divBdr>
    </w:div>
    <w:div w:id="1241601015">
      <w:bodyDiv w:val="1"/>
      <w:marLeft w:val="0"/>
      <w:marRight w:val="0"/>
      <w:marTop w:val="0"/>
      <w:marBottom w:val="0"/>
      <w:divBdr>
        <w:top w:val="none" w:sz="0" w:space="0" w:color="auto"/>
        <w:left w:val="none" w:sz="0" w:space="0" w:color="auto"/>
        <w:bottom w:val="none" w:sz="0" w:space="0" w:color="auto"/>
        <w:right w:val="none" w:sz="0" w:space="0" w:color="auto"/>
      </w:divBdr>
    </w:div>
    <w:div w:id="2015649973">
      <w:bodyDiv w:val="1"/>
      <w:marLeft w:val="0"/>
      <w:marRight w:val="0"/>
      <w:marTop w:val="0"/>
      <w:marBottom w:val="0"/>
      <w:divBdr>
        <w:top w:val="none" w:sz="0" w:space="0" w:color="auto"/>
        <w:left w:val="none" w:sz="0" w:space="0" w:color="auto"/>
        <w:bottom w:val="none" w:sz="0" w:space="0" w:color="auto"/>
        <w:right w:val="none" w:sz="0" w:space="0" w:color="auto"/>
      </w:divBdr>
    </w:div>
    <w:div w:id="208333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F1D9BF0A457D4E9CA529F549672BB1" ma:contentTypeVersion="6" ma:contentTypeDescription="Create a new document." ma:contentTypeScope="" ma:versionID="75d4573d6f0a41208fb23590df63e5df">
  <xsd:schema xmlns:xsd="http://www.w3.org/2001/XMLSchema" xmlns:xs="http://www.w3.org/2001/XMLSchema" xmlns:p="http://schemas.microsoft.com/office/2006/metadata/properties" xmlns:ns2="45ad89f7-727b-4602-a0b7-a6e9942f1387" xmlns:ns3="62b45d68-445e-4a2e-bd98-3697939e6f4e" targetNamespace="http://schemas.microsoft.com/office/2006/metadata/properties" ma:root="true" ma:fieldsID="f5c5fe5b30cd6c73f12ae04e98b8fe38" ns2:_="" ns3:_="">
    <xsd:import namespace="45ad89f7-727b-4602-a0b7-a6e9942f1387"/>
    <xsd:import namespace="62b45d68-445e-4a2e-bd98-3697939e6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d89f7-727b-4602-a0b7-a6e9942f1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45d68-445e-4a2e-bd98-3697939e6f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3A7BA-E062-4109-A3B5-64D9C695151A}">
  <ds:schemaRefs>
    <ds:schemaRef ds:uri="http://schemas.openxmlformats.org/officeDocument/2006/bibliography"/>
  </ds:schemaRefs>
</ds:datastoreItem>
</file>

<file path=customXml/itemProps2.xml><?xml version="1.0" encoding="utf-8"?>
<ds:datastoreItem xmlns:ds="http://schemas.openxmlformats.org/officeDocument/2006/customXml" ds:itemID="{352928E7-3C06-4BA9-A44E-2BB02E61F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d89f7-727b-4602-a0b7-a6e9942f1387"/>
    <ds:schemaRef ds:uri="62b45d68-445e-4a2e-bd98-3697939e6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A05D8-6A79-4AD0-9EFF-1D840B129715}">
  <ds:schemaRefs>
    <ds:schemaRef ds:uri="http://schemas.microsoft.com/sharepoint/v3/contenttype/forms"/>
  </ds:schemaRefs>
</ds:datastoreItem>
</file>

<file path=customXml/itemProps4.xml><?xml version="1.0" encoding="utf-8"?>
<ds:datastoreItem xmlns:ds="http://schemas.openxmlformats.org/officeDocument/2006/customXml" ds:itemID="{CBB4D358-0EB5-477C-A479-B4C00383C1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Confidential</vt:lpstr>
    </vt:vector>
  </TitlesOfParts>
  <Company>BOC Bangladesh</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bd0172</dc:creator>
  <cp:keywords/>
  <cp:lastModifiedBy>Abu Nisar</cp:lastModifiedBy>
  <cp:revision>4</cp:revision>
  <cp:lastPrinted>2019-02-25T05:07:00Z</cp:lastPrinted>
  <dcterms:created xsi:type="dcterms:W3CDTF">2022-06-16T09:09:00Z</dcterms:created>
  <dcterms:modified xsi:type="dcterms:W3CDTF">2022-06-16T09:11:00Z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0x01010025F1D9BF0A457D4E9CA529F549672BB1</vt:lpwstr>
  </property>
  <property fmtid="{D5CDD505-2E9C-101B-9397-08002B2CF9AE}" pid="3" name="Order">
    <vt:r8>625200</vt:r8>
  </property>
</Properties>
</file>