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E36F" w14:textId="5997B56E" w:rsidR="00DD0EDC" w:rsidRPr="005B786F" w:rsidRDefault="002E614E" w:rsidP="002208FC">
      <w:pPr>
        <w:jc w:val="both"/>
        <w:rPr>
          <w:rFonts w:ascii="LindeDaxOffice Medium" w:hAnsi="LindeDaxOffice Medium"/>
          <w:sz w:val="20"/>
          <w:szCs w:val="20"/>
        </w:rPr>
      </w:pPr>
      <w:r w:rsidRPr="005E088E">
        <w:rPr>
          <w:rFonts w:ascii="LindeDaxOffice Medium" w:hAnsi="LindeDaxOffice Medium"/>
          <w:b/>
          <w:bCs/>
          <w:sz w:val="20"/>
          <w:szCs w:val="20"/>
        </w:rPr>
        <w:t xml:space="preserve">Nome do </w:t>
      </w:r>
      <w:r w:rsidR="00565989" w:rsidRPr="005E088E">
        <w:rPr>
          <w:rFonts w:ascii="LindeDaxOffice Medium" w:hAnsi="LindeDaxOffice Medium"/>
          <w:b/>
          <w:bCs/>
          <w:sz w:val="20"/>
          <w:szCs w:val="20"/>
        </w:rPr>
        <w:t>Gás Medicinal</w:t>
      </w:r>
      <w:r w:rsidRPr="005E088E">
        <w:rPr>
          <w:rFonts w:ascii="LindeDaxOffice Medium" w:hAnsi="LindeDaxOffice Medium"/>
          <w:b/>
          <w:bCs/>
          <w:sz w:val="20"/>
          <w:szCs w:val="20"/>
        </w:rPr>
        <w:t xml:space="preserve">: </w:t>
      </w:r>
      <w:r w:rsidR="00DD0EDC" w:rsidRPr="005B786F">
        <w:rPr>
          <w:rFonts w:ascii="LindeDaxOffice Medium" w:hAnsi="LindeDaxOffice Medium"/>
          <w:sz w:val="20"/>
          <w:szCs w:val="20"/>
        </w:rPr>
        <w:t>Oxigênio Líquido Medicinal.</w:t>
      </w:r>
    </w:p>
    <w:p w14:paraId="25CDF3C4" w14:textId="72566F7C" w:rsidR="002E614E" w:rsidRPr="005B786F" w:rsidRDefault="002E614E" w:rsidP="002208FC">
      <w:pPr>
        <w:jc w:val="both"/>
        <w:rPr>
          <w:rFonts w:ascii="LindeDaxOffice Medium" w:hAnsi="LindeDaxOffice Medium"/>
          <w:sz w:val="20"/>
          <w:szCs w:val="20"/>
        </w:rPr>
      </w:pPr>
      <w:r w:rsidRPr="005E088E">
        <w:rPr>
          <w:rFonts w:ascii="LindeDaxOffice Medium" w:hAnsi="LindeDaxOffice Medium"/>
          <w:b/>
          <w:bCs/>
          <w:sz w:val="20"/>
          <w:szCs w:val="20"/>
        </w:rPr>
        <w:t xml:space="preserve">Composição do </w:t>
      </w:r>
      <w:r w:rsidR="00565989" w:rsidRPr="005E088E">
        <w:rPr>
          <w:rFonts w:ascii="LindeDaxOffice Medium" w:hAnsi="LindeDaxOffice Medium"/>
          <w:b/>
          <w:bCs/>
          <w:sz w:val="20"/>
          <w:szCs w:val="20"/>
        </w:rPr>
        <w:t>Gás Medicinal</w:t>
      </w:r>
      <w:r w:rsidRPr="005E088E">
        <w:rPr>
          <w:rFonts w:ascii="LindeDaxOffice Medium" w:hAnsi="LindeDaxOffice Medium"/>
          <w:b/>
          <w:bCs/>
          <w:sz w:val="20"/>
          <w:szCs w:val="20"/>
        </w:rPr>
        <w:t>:</w:t>
      </w:r>
      <w:r w:rsidRPr="005B786F">
        <w:rPr>
          <w:rFonts w:ascii="LindeDaxOffice Medium" w:hAnsi="LindeDaxOffice Medium"/>
          <w:sz w:val="20"/>
          <w:szCs w:val="20"/>
        </w:rPr>
        <w:t xml:space="preserve"> Oxigênio 100%. Não há excipientes. O oxigênio criogênico é azul pálido. Quando convertido em gás, o oxigênio é incolor, inodoro e sem sabor.</w:t>
      </w:r>
    </w:p>
    <w:p w14:paraId="45E997E9" w14:textId="7B39E858" w:rsidR="003066FE" w:rsidRPr="001954F7" w:rsidRDefault="003066FE" w:rsidP="003066FE">
      <w:pPr>
        <w:jc w:val="both"/>
        <w:rPr>
          <w:rFonts w:ascii="LindeDaxOffice Medium" w:hAnsi="LindeDaxOffice Medium"/>
          <w:i/>
          <w:iCs/>
          <w:color w:val="0000FF"/>
          <w:sz w:val="20"/>
          <w:szCs w:val="20"/>
        </w:rPr>
      </w:pPr>
      <w:r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 xml:space="preserve">Quantidade, </w:t>
      </w:r>
      <w:r w:rsidRPr="005E088E"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>Número de Lote</w:t>
      </w:r>
      <w:r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>,</w:t>
      </w:r>
      <w:r w:rsidRPr="005E088E"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 xml:space="preserve"> Data de Fabricação</w:t>
      </w:r>
      <w:r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 xml:space="preserve"> e Prazo de Validade</w:t>
      </w:r>
      <w:r w:rsidRPr="005E088E">
        <w:rPr>
          <w:rFonts w:ascii="LindeDaxOffice Medium" w:hAnsi="LindeDaxOffice Medium"/>
          <w:b/>
          <w:bCs/>
          <w:i/>
          <w:iCs/>
          <w:color w:val="0000FF"/>
          <w:sz w:val="20"/>
          <w:szCs w:val="20"/>
        </w:rPr>
        <w:t>:</w:t>
      </w:r>
      <w:r w:rsidRPr="001954F7">
        <w:rPr>
          <w:rFonts w:ascii="LindeDaxOffice Medium" w:hAnsi="LindeDaxOffice Medium"/>
          <w:i/>
          <w:iCs/>
          <w:color w:val="0000FF"/>
          <w:sz w:val="20"/>
          <w:szCs w:val="20"/>
        </w:rPr>
        <w:t xml:space="preserve"> Consultar </w:t>
      </w:r>
      <w:r w:rsidR="0047350C">
        <w:rPr>
          <w:rFonts w:ascii="LindeDaxOffice Medium" w:hAnsi="LindeDaxOffice Medium"/>
          <w:i/>
          <w:iCs/>
          <w:color w:val="0000FF"/>
          <w:sz w:val="20"/>
          <w:szCs w:val="20"/>
        </w:rPr>
        <w:t xml:space="preserve">frente do </w:t>
      </w:r>
      <w:r w:rsidRPr="001954F7">
        <w:rPr>
          <w:rFonts w:ascii="LindeDaxOffice Medium" w:hAnsi="LindeDaxOffice Medium"/>
          <w:i/>
          <w:iCs/>
          <w:color w:val="0000FF"/>
          <w:sz w:val="20"/>
          <w:szCs w:val="20"/>
        </w:rPr>
        <w:t>certificado de qualidade.</w:t>
      </w:r>
    </w:p>
    <w:p w14:paraId="37601981" w14:textId="359C6C36" w:rsidR="00D27063" w:rsidRPr="005B786F" w:rsidRDefault="00D27063" w:rsidP="00D27063">
      <w:pPr>
        <w:jc w:val="both"/>
        <w:rPr>
          <w:rFonts w:ascii="LindeDaxOffice Medium" w:hAnsi="LindeDaxOffice Medium"/>
          <w:sz w:val="20"/>
          <w:szCs w:val="20"/>
        </w:rPr>
      </w:pPr>
      <w:r w:rsidRPr="005E088E">
        <w:rPr>
          <w:rFonts w:ascii="LindeDaxOffice Medium" w:hAnsi="LindeDaxOffice Medium"/>
          <w:b/>
          <w:bCs/>
          <w:sz w:val="20"/>
          <w:szCs w:val="20"/>
        </w:rPr>
        <w:t xml:space="preserve">Via de </w:t>
      </w:r>
      <w:r w:rsidR="00565989" w:rsidRPr="005E088E">
        <w:rPr>
          <w:rFonts w:ascii="LindeDaxOffice Medium" w:hAnsi="LindeDaxOffice Medium"/>
          <w:b/>
          <w:bCs/>
          <w:sz w:val="20"/>
          <w:szCs w:val="20"/>
        </w:rPr>
        <w:t>Administração</w:t>
      </w:r>
      <w:r w:rsidRPr="005E088E">
        <w:rPr>
          <w:rFonts w:ascii="LindeDaxOffice Medium" w:hAnsi="LindeDaxOffice Medium"/>
          <w:b/>
          <w:bCs/>
          <w:sz w:val="20"/>
          <w:szCs w:val="20"/>
        </w:rPr>
        <w:t>:</w:t>
      </w:r>
      <w:r w:rsidRPr="005B786F">
        <w:rPr>
          <w:rFonts w:ascii="LindeDaxOffice Medium" w:hAnsi="LindeDaxOffice Medium"/>
          <w:sz w:val="20"/>
          <w:szCs w:val="20"/>
        </w:rPr>
        <w:t xml:space="preserve"> Somente em sua forma gasosa, por via inalatória, através de ventilação mecânica e/ou de anestesia ou através de máscaras específicas, cateteres e nebulizadores, sempre sob orientação médica especializada.</w:t>
      </w:r>
    </w:p>
    <w:p w14:paraId="3F126E3F" w14:textId="77777777" w:rsidR="00D16EF6" w:rsidRPr="005B786F" w:rsidRDefault="00D16EF6" w:rsidP="00D16EF6">
      <w:pPr>
        <w:jc w:val="both"/>
        <w:rPr>
          <w:rFonts w:ascii="LindeDaxOffice Medium" w:hAnsi="LindeDaxOffice Medium"/>
          <w:sz w:val="20"/>
          <w:szCs w:val="20"/>
        </w:rPr>
      </w:pPr>
      <w:r w:rsidRPr="005E088E">
        <w:rPr>
          <w:rFonts w:ascii="LindeDaxOffice Medium" w:hAnsi="LindeDaxOffice Medium"/>
          <w:b/>
          <w:bCs/>
          <w:sz w:val="20"/>
          <w:szCs w:val="20"/>
        </w:rPr>
        <w:t>Indicações:</w:t>
      </w:r>
      <w:r w:rsidRPr="005B786F">
        <w:rPr>
          <w:rFonts w:ascii="LindeDaxOffice Medium" w:hAnsi="LindeDaxOffice Medium"/>
          <w:sz w:val="20"/>
          <w:szCs w:val="20"/>
        </w:rPr>
        <w:t xml:space="preserve"> Prevenção e tratamento de deficiências agudas e crônicas de oxigênio. Como coadjuvante no tratamento de dificuldades respiratórias e aumento do esforço cardíaco. Como componente no fluxo de gás para a inalação de outros medicamentos. Como suporte ventilatório em procedimentos de ventilação mecânica. Como gás de inalação ou de preenchimento da câmara monopaciente na oxigenoterapia hiperbárica.</w:t>
      </w:r>
    </w:p>
    <w:p w14:paraId="71F1E89A" w14:textId="77777777" w:rsidR="00E074E5" w:rsidRPr="005B786F" w:rsidRDefault="00E074E5" w:rsidP="00E074E5">
      <w:pPr>
        <w:jc w:val="both"/>
        <w:rPr>
          <w:rFonts w:ascii="LindeDaxOffice Medium" w:hAnsi="LindeDaxOffice Medium"/>
          <w:sz w:val="20"/>
          <w:szCs w:val="20"/>
        </w:rPr>
      </w:pPr>
      <w:r w:rsidRPr="005E088E">
        <w:rPr>
          <w:rFonts w:ascii="LindeDaxOffice Medium" w:hAnsi="LindeDaxOffice Medium"/>
          <w:b/>
          <w:bCs/>
          <w:sz w:val="20"/>
          <w:szCs w:val="20"/>
        </w:rPr>
        <w:t>Contraindicações:</w:t>
      </w:r>
      <w:r w:rsidRPr="005B786F">
        <w:rPr>
          <w:rFonts w:ascii="LindeDaxOffice Medium" w:hAnsi="LindeDaxOffice Medium"/>
          <w:sz w:val="20"/>
          <w:szCs w:val="20"/>
        </w:rPr>
        <w:t xml:space="preserve"> Pacientes com resposta ventilatória desfavorável à oxigenoterapia.</w:t>
      </w:r>
    </w:p>
    <w:p w14:paraId="6433A78E" w14:textId="77777777" w:rsidR="00A93999" w:rsidRPr="005B786F" w:rsidRDefault="00A93999" w:rsidP="00A93999">
      <w:pPr>
        <w:jc w:val="both"/>
        <w:rPr>
          <w:rFonts w:ascii="LindeDaxOffice Medium" w:hAnsi="LindeDaxOffice Medium"/>
          <w:sz w:val="20"/>
          <w:szCs w:val="20"/>
        </w:rPr>
      </w:pPr>
      <w:r w:rsidRPr="006B3B8B">
        <w:rPr>
          <w:rFonts w:ascii="LindeDaxOffice Medium" w:hAnsi="LindeDaxOffice Medium"/>
          <w:b/>
          <w:bCs/>
          <w:sz w:val="20"/>
          <w:szCs w:val="20"/>
        </w:rPr>
        <w:t>Precauções:</w:t>
      </w:r>
      <w:r w:rsidRPr="005B786F">
        <w:rPr>
          <w:rFonts w:ascii="LindeDaxOffice Medium" w:hAnsi="LindeDaxOffice Medium"/>
          <w:sz w:val="20"/>
          <w:szCs w:val="20"/>
        </w:rPr>
        <w:t xml:space="preserve"> No uso do oxigênio medicinal na oxigenoterapia hiperbárica, deve-se observar os riscos inerentes ao procedimento. A exposição prolongada a altas concentrações pode gerar radicais livres e inflamação, podendo causar disfunção pulmonar, depressão respiratória, e, posteriormente, retenção de dióxido de carbono. Ao ajustar as configurações do fluxo de oxigênio acima do prescrito sem o conhecimento médico caso ocorra hipóxia (por alguma doença associada ou subdosagem do produto) verifique se o suprimento de oxigênio está adequado e procure assistência médica imediata.  A exposição a altas concentrações de oxigênio pode resultar em efeitos no sistema nervoso central (SNC), como vertigem e sonolência, portanto altas concentrações devem ser administradas apenas pelo tempo mínimo necessário para alcançar o resultado clínico desejado.  Antes de qualquer utilização, certifique-se de que resta quantidade suficiente de produto para permitir a conclusão da administração planejada. Utilize apenas dispositivos compatíveis e normalizados, concebidos para a administração do medicamento. O oxigênio acelera vigorosamente a combustão quando em contato com materiais combustíveis ou fontes de ignição. Esse risco é maior em procedimentos de diatermia e desfibrilação com conversão elétrica. Não fume ou use chamas ou carregue cigarros eletrônicos próximo a pacientes utilizando o produto. Nunca coloque máscara ou cânula nasais diretamente sobre tecido durante o uso, pois podem ficar saturados com oxigênio e ser altamente inflamáveis, causando risco de incêndio. Caso ocorra, agite bem e areje os tecidos. Para maiores informações ou detalhes consulte o fabricante.</w:t>
      </w:r>
    </w:p>
    <w:p w14:paraId="3B55B935" w14:textId="77777777" w:rsidR="00CE0C18" w:rsidRPr="005B786F" w:rsidRDefault="00CE0C18" w:rsidP="00CE0C18">
      <w:pPr>
        <w:jc w:val="both"/>
        <w:rPr>
          <w:rFonts w:ascii="LindeDaxOffice Medium" w:hAnsi="LindeDaxOffice Medium"/>
          <w:sz w:val="20"/>
          <w:szCs w:val="20"/>
        </w:rPr>
      </w:pPr>
      <w:r w:rsidRPr="000072CE">
        <w:rPr>
          <w:rFonts w:ascii="LindeDaxOffice Medium" w:hAnsi="LindeDaxOffice Medium"/>
          <w:b/>
          <w:bCs/>
          <w:sz w:val="20"/>
          <w:szCs w:val="20"/>
        </w:rPr>
        <w:t>Reações Adversas:</w:t>
      </w:r>
      <w:r w:rsidRPr="005B786F">
        <w:rPr>
          <w:rFonts w:ascii="LindeDaxOffice Medium" w:hAnsi="LindeDaxOffice Medium"/>
          <w:sz w:val="20"/>
          <w:szCs w:val="20"/>
        </w:rPr>
        <w:t xml:space="preserve"> O oxigênio medicinal, quando administrado em altas concentrações ou por um período prolongado de tempo, pode causar ressecamento de mucosas (nariz, boca e vias aéreas), dor, tosse seca e dificuldade ao respirar, além de lesões pulmonares e sistêmicas. Em recém-nascidos, altas concentrações de oxigênio medicinal também podem causar danos oculares, alterações hematológicas, cardíacas e cerebrais. Em pacientes com doença obstrutiva pulmonar crônica (DPOC), a administração excessiva de oxigênio medicinal pode levar a falência respiratória por hipercapnia.</w:t>
      </w:r>
    </w:p>
    <w:p w14:paraId="61C21BBE" w14:textId="30808143" w:rsidR="003018A8" w:rsidRPr="005B786F" w:rsidRDefault="003018A8" w:rsidP="003018A8">
      <w:pPr>
        <w:jc w:val="both"/>
        <w:rPr>
          <w:rFonts w:ascii="LindeDaxOffice Medium" w:hAnsi="LindeDaxOffice Medium"/>
          <w:sz w:val="20"/>
          <w:szCs w:val="20"/>
        </w:rPr>
      </w:pPr>
      <w:r w:rsidRPr="000072CE">
        <w:rPr>
          <w:rFonts w:ascii="LindeDaxOffice Medium" w:hAnsi="LindeDaxOffice Medium"/>
          <w:b/>
          <w:bCs/>
          <w:sz w:val="20"/>
          <w:szCs w:val="20"/>
        </w:rPr>
        <w:t xml:space="preserve">Interações </w:t>
      </w:r>
      <w:r w:rsidR="000072CE" w:rsidRPr="000072CE">
        <w:rPr>
          <w:rFonts w:ascii="LindeDaxOffice Medium" w:hAnsi="LindeDaxOffice Medium"/>
          <w:b/>
          <w:bCs/>
          <w:sz w:val="20"/>
          <w:szCs w:val="20"/>
        </w:rPr>
        <w:t>Medicamentosas</w:t>
      </w:r>
      <w:r w:rsidRPr="000072CE">
        <w:rPr>
          <w:rFonts w:ascii="LindeDaxOffice Medium" w:hAnsi="LindeDaxOffice Medium"/>
          <w:b/>
          <w:bCs/>
          <w:sz w:val="20"/>
          <w:szCs w:val="20"/>
        </w:rPr>
        <w:t>:</w:t>
      </w:r>
      <w:r w:rsidRPr="005B786F">
        <w:rPr>
          <w:rFonts w:ascii="LindeDaxOffice Medium" w:hAnsi="LindeDaxOffice Medium"/>
          <w:sz w:val="20"/>
          <w:szCs w:val="20"/>
        </w:rPr>
        <w:t xml:space="preserve"> Administração de oxigênio medicinal em altas concentrações pode aumentar o risco de toxicidade pulmonar em pacientes que utilizam amiodarona, bleomicina, nitrofurantoína ou outros antibióticos desta classe.</w:t>
      </w:r>
    </w:p>
    <w:p w14:paraId="0F609984" w14:textId="77777777" w:rsidR="003018A8" w:rsidRPr="005B786F" w:rsidRDefault="003018A8" w:rsidP="003018A8">
      <w:pPr>
        <w:jc w:val="both"/>
        <w:rPr>
          <w:rFonts w:ascii="LindeDaxOffice Medium" w:hAnsi="LindeDaxOffice Medium"/>
          <w:sz w:val="20"/>
          <w:szCs w:val="20"/>
        </w:rPr>
      </w:pPr>
      <w:r w:rsidRPr="00EB0C7B">
        <w:rPr>
          <w:rFonts w:ascii="LindeDaxOffice Medium" w:hAnsi="LindeDaxOffice Medium"/>
          <w:b/>
          <w:bCs/>
          <w:sz w:val="20"/>
          <w:szCs w:val="20"/>
        </w:rPr>
        <w:t>Linha de Produção:</w:t>
      </w:r>
      <w:r w:rsidRPr="005B786F">
        <w:rPr>
          <w:rFonts w:ascii="LindeDaxOffice Medium" w:hAnsi="LindeDaxOffice Medium"/>
          <w:sz w:val="20"/>
          <w:szCs w:val="20"/>
        </w:rPr>
        <w:t xml:space="preserve"> Líquido criogênico medicinal.</w:t>
      </w:r>
    </w:p>
    <w:p w14:paraId="799474F0" w14:textId="77777777" w:rsidR="002E614E" w:rsidRPr="005B786F" w:rsidRDefault="002E614E" w:rsidP="002208FC">
      <w:pPr>
        <w:jc w:val="both"/>
        <w:rPr>
          <w:rFonts w:ascii="LindeDaxOffice Medium" w:hAnsi="LindeDaxOffice Medium"/>
          <w:sz w:val="20"/>
          <w:szCs w:val="20"/>
        </w:rPr>
      </w:pPr>
      <w:r w:rsidRPr="00701232">
        <w:rPr>
          <w:rFonts w:ascii="LindeDaxOffice Medium" w:hAnsi="LindeDaxOffice Medium"/>
          <w:b/>
          <w:bCs/>
          <w:sz w:val="20"/>
          <w:szCs w:val="20"/>
        </w:rPr>
        <w:t>Posologia e Administração:</w:t>
      </w:r>
      <w:r w:rsidRPr="005B786F">
        <w:rPr>
          <w:rFonts w:ascii="LindeDaxOffice Medium" w:hAnsi="LindeDaxOffice Medium"/>
          <w:sz w:val="20"/>
          <w:szCs w:val="20"/>
        </w:rPr>
        <w:t xml:space="preserve"> A concentração, o fluxo e o tempo de administração dos gases medicinais devem ser determinados pelo profissional de saúde habilitado de acordo com o procedimento realizado e o estado de saúde do paciente. Na administração dos gases medicinais por inalação deve-se assegurar quantidade adequada de oxigênio na mistura de acordo com o procedimento realizado e o estado de saúde do paciente, a fim de evitar asfixia. Para uso domiciliar, o paciente deve receber treinamento completo sobre o uso do gás medicinal e equipamentos.</w:t>
      </w:r>
    </w:p>
    <w:p w14:paraId="41288B8F" w14:textId="77777777" w:rsidR="00DD0EDC" w:rsidRPr="005B786F" w:rsidRDefault="002E614E" w:rsidP="002208FC">
      <w:pPr>
        <w:jc w:val="both"/>
        <w:rPr>
          <w:rFonts w:ascii="LindeDaxOffice Medium" w:hAnsi="LindeDaxOffice Medium"/>
          <w:sz w:val="20"/>
          <w:szCs w:val="20"/>
        </w:rPr>
      </w:pPr>
      <w:r w:rsidRPr="00D41F80">
        <w:rPr>
          <w:rFonts w:ascii="LindeDaxOffice Medium" w:hAnsi="LindeDaxOffice Medium"/>
          <w:b/>
          <w:bCs/>
          <w:sz w:val="20"/>
          <w:szCs w:val="20"/>
        </w:rPr>
        <w:t>Condições de Armazenamento</w:t>
      </w:r>
      <w:r w:rsidR="00DD0EDC" w:rsidRPr="00D41F80">
        <w:rPr>
          <w:rFonts w:ascii="LindeDaxOffice Medium" w:hAnsi="LindeDaxOffice Medium"/>
          <w:b/>
          <w:bCs/>
          <w:sz w:val="20"/>
          <w:szCs w:val="20"/>
        </w:rPr>
        <w:t>:</w:t>
      </w:r>
      <w:r w:rsidR="004677F7" w:rsidRPr="005B786F">
        <w:rPr>
          <w:rFonts w:ascii="LindeDaxOffice Medium" w:hAnsi="LindeDaxOffice Medium"/>
          <w:sz w:val="20"/>
          <w:szCs w:val="20"/>
        </w:rPr>
        <w:t xml:space="preserve"> </w:t>
      </w:r>
      <w:r w:rsidRPr="005B786F">
        <w:rPr>
          <w:rFonts w:ascii="LindeDaxOffice Medium" w:hAnsi="LindeDaxOffice Medium"/>
          <w:sz w:val="20"/>
          <w:szCs w:val="20"/>
        </w:rPr>
        <w:t>O Gás oxidante liquefeito e altamente refrigerado está, em condições normais, confinado em recipientes criogênicos e tubulações metálicas fechadas, equipados com dispositivos de alívio e controle de pressão. Nunca encoste qualquer parte do corpo em tubos ou válvulas que contenham oxigênio líquido, sob risco de queimaduras e ferimentos graves. Equipamentos de proteção pessoal (luvas de isolamento, proteção facial e ocular) devem ser usados quando o produto for manuseado. A armazenagem só pode ser realizada em ambientes com ventilação adequada, nunca confinados. Mantenha os recipientes criogênicos longe de óleos, graxas e quaisquer materiais inflamáveis (não use creme para rosto ou mãos, batom etc) a, no mínimo, 7 metros de distância ou use uma barreira de material não combustível (corta fogo)</w:t>
      </w:r>
      <w:r w:rsidR="00AD4725" w:rsidRPr="005B786F">
        <w:rPr>
          <w:rFonts w:ascii="LindeDaxOffice Medium" w:hAnsi="LindeDaxOffice Medium"/>
          <w:sz w:val="20"/>
          <w:szCs w:val="20"/>
        </w:rPr>
        <w:t>.</w:t>
      </w:r>
    </w:p>
    <w:p w14:paraId="0B348F64" w14:textId="5E4A4522" w:rsidR="006B0769" w:rsidRPr="005B786F" w:rsidRDefault="002E614E" w:rsidP="006B0769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  <w:r w:rsidRPr="005B786F">
        <w:rPr>
          <w:rFonts w:ascii="LindeDaxOffice Medium" w:hAnsi="LindeDaxOffice Medium"/>
          <w:sz w:val="20"/>
          <w:szCs w:val="20"/>
        </w:rPr>
        <w:t>Informe ao seu médico ou cirurgião-dentista o aparecimento de reações indesejáveis pelo uso do gás medicinal.</w:t>
      </w:r>
      <w:r w:rsidR="006B0769">
        <w:rPr>
          <w:rFonts w:ascii="LindeDaxOffice Medium" w:hAnsi="LindeDaxOffice Medium"/>
          <w:sz w:val="20"/>
          <w:szCs w:val="20"/>
        </w:rPr>
        <w:t xml:space="preserve"> </w:t>
      </w:r>
      <w:r w:rsidRPr="005B786F">
        <w:rPr>
          <w:rFonts w:ascii="LindeDaxOffice Medium" w:hAnsi="LindeDaxOffice Medium"/>
          <w:sz w:val="20"/>
          <w:szCs w:val="20"/>
        </w:rPr>
        <w:t>Informe também à empresa através do seu serviço de atendimento.</w:t>
      </w:r>
      <w:r w:rsidR="006B0769">
        <w:rPr>
          <w:rFonts w:ascii="LindeDaxOffice Medium" w:hAnsi="LindeDaxOffice Medium"/>
          <w:sz w:val="20"/>
          <w:szCs w:val="20"/>
        </w:rPr>
        <w:t xml:space="preserve"> </w:t>
      </w:r>
      <w:r w:rsidRPr="005B786F">
        <w:rPr>
          <w:rFonts w:ascii="LindeDaxOffice Medium" w:hAnsi="LindeDaxOffice Medium"/>
          <w:sz w:val="20"/>
          <w:szCs w:val="20"/>
        </w:rPr>
        <w:t>Em caso de dúvidas sobre o uso deste gás medicinal, procure orientação de um profissional de saúde.</w:t>
      </w:r>
      <w:r w:rsidR="006B0769" w:rsidRPr="006B0769">
        <w:rPr>
          <w:rFonts w:ascii="LindeDaxOffice Medium" w:hAnsi="LindeDaxOffice Medium"/>
          <w:sz w:val="20"/>
          <w:szCs w:val="20"/>
        </w:rPr>
        <w:t xml:space="preserve"> </w:t>
      </w:r>
      <w:r w:rsidR="006B0769" w:rsidRPr="005B786F">
        <w:rPr>
          <w:rFonts w:ascii="LindeDaxOffice Medium" w:hAnsi="LindeDaxOffice Medium"/>
          <w:sz w:val="20"/>
          <w:szCs w:val="20"/>
        </w:rPr>
        <w:t>Uso sob Prescrição Médica. Produto Exclusivamente de Uso Medicinal.</w:t>
      </w:r>
    </w:p>
    <w:p w14:paraId="28169A91" w14:textId="77777777" w:rsidR="002E614E" w:rsidRPr="005B786F" w:rsidRDefault="002E614E" w:rsidP="002208FC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  <w:r w:rsidRPr="005B786F">
        <w:rPr>
          <w:rFonts w:ascii="LindeDaxOffice Medium" w:hAnsi="LindeDaxOffice Medium"/>
          <w:sz w:val="20"/>
          <w:szCs w:val="20"/>
        </w:rPr>
        <w:t>TODO MEDICAMENTO DEVE SER MANTIDO FORA DO ALCANCE DAS CRIANÇAS.</w:t>
      </w:r>
    </w:p>
    <w:p w14:paraId="499E4442" w14:textId="77777777" w:rsidR="00080D50" w:rsidRDefault="00EE5E9A" w:rsidP="00080D50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  <w:r w:rsidRPr="005B786F">
        <w:rPr>
          <w:rFonts w:ascii="LindeDaxOffice Medium" w:hAnsi="LindeDaxOffice Medium"/>
          <w:sz w:val="20"/>
          <w:szCs w:val="20"/>
        </w:rPr>
        <w:t>Gás medicinal notificado conforme RDC nº 870, de 17 de maio de 2024.</w:t>
      </w:r>
    </w:p>
    <w:p w14:paraId="4573166C" w14:textId="06C834CD" w:rsidR="00080D50" w:rsidRPr="005B786F" w:rsidRDefault="00080D50" w:rsidP="00080D50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  <w:r w:rsidRPr="005F125C">
        <w:rPr>
          <w:rFonts w:ascii="LindeDaxOffice Medium" w:hAnsi="LindeDaxOffice Medium"/>
          <w:i/>
          <w:iCs/>
          <w:color w:val="0000FF"/>
          <w:sz w:val="20"/>
          <w:szCs w:val="20"/>
        </w:rPr>
        <w:t>Notificado</w:t>
      </w:r>
      <w:r>
        <w:rPr>
          <w:rFonts w:ascii="LindeDaxOffice Medium" w:hAnsi="LindeDaxOffice Medium"/>
          <w:sz w:val="20"/>
          <w:szCs w:val="20"/>
        </w:rPr>
        <w:t xml:space="preserve"> por</w:t>
      </w:r>
      <w:r w:rsidRPr="005B786F">
        <w:rPr>
          <w:rFonts w:ascii="LindeDaxOffice Medium" w:hAnsi="LindeDaxOffice Medium"/>
          <w:sz w:val="20"/>
          <w:szCs w:val="20"/>
        </w:rPr>
        <w:t xml:space="preserve">: </w:t>
      </w:r>
      <w:r w:rsidRPr="001954F7">
        <w:rPr>
          <w:rFonts w:ascii="LindeDaxOffice Medium" w:hAnsi="LindeDaxOffice Medium"/>
          <w:i/>
          <w:iCs/>
          <w:color w:val="0000FF"/>
          <w:sz w:val="20"/>
          <w:szCs w:val="20"/>
        </w:rPr>
        <w:t xml:space="preserve">Consultar </w:t>
      </w:r>
      <w:r>
        <w:rPr>
          <w:rFonts w:ascii="LindeDaxOffice Medium" w:hAnsi="LindeDaxOffice Medium"/>
          <w:i/>
          <w:iCs/>
          <w:color w:val="0000FF"/>
          <w:sz w:val="20"/>
          <w:szCs w:val="20"/>
        </w:rPr>
        <w:t xml:space="preserve">frente do </w:t>
      </w:r>
      <w:r w:rsidRPr="001954F7">
        <w:rPr>
          <w:rFonts w:ascii="LindeDaxOffice Medium" w:hAnsi="LindeDaxOffice Medium"/>
          <w:i/>
          <w:iCs/>
          <w:color w:val="0000FF"/>
          <w:sz w:val="20"/>
          <w:szCs w:val="20"/>
        </w:rPr>
        <w:t>certificado de qualidade</w:t>
      </w:r>
      <w:r>
        <w:rPr>
          <w:rFonts w:ascii="LindeDaxOffice Medium" w:hAnsi="LindeDaxOffice Medium"/>
          <w:sz w:val="20"/>
          <w:szCs w:val="20"/>
        </w:rPr>
        <w:t xml:space="preserve">. </w:t>
      </w:r>
      <w:r w:rsidRPr="005B786F">
        <w:rPr>
          <w:rFonts w:ascii="LindeDaxOffice Medium" w:hAnsi="LindeDaxOffice Medium"/>
          <w:sz w:val="20"/>
          <w:szCs w:val="20"/>
        </w:rPr>
        <w:t>Envasado por</w:t>
      </w:r>
      <w:r>
        <w:rPr>
          <w:rFonts w:ascii="LindeDaxOffice Medium" w:hAnsi="LindeDaxOffice Medium"/>
          <w:sz w:val="20"/>
          <w:szCs w:val="20"/>
        </w:rPr>
        <w:t xml:space="preserve">: </w:t>
      </w:r>
      <w:r w:rsidRPr="005F125C">
        <w:rPr>
          <w:rFonts w:ascii="LindeDaxOffice Medium" w:hAnsi="LindeDaxOffice Medium"/>
          <w:i/>
          <w:iCs/>
          <w:color w:val="0000FF"/>
          <w:sz w:val="20"/>
          <w:szCs w:val="20"/>
        </w:rPr>
        <w:t>Consultar</w:t>
      </w:r>
      <w:r w:rsidRPr="005B786F">
        <w:rPr>
          <w:rFonts w:ascii="LindeDaxOffice Medium" w:hAnsi="LindeDaxOffice Medium"/>
          <w:sz w:val="20"/>
          <w:szCs w:val="20"/>
        </w:rPr>
        <w:t xml:space="preserve"> campo “Dados White Martins”.</w:t>
      </w:r>
    </w:p>
    <w:p w14:paraId="6E2B0296" w14:textId="6B300067" w:rsidR="00024414" w:rsidRPr="005B786F" w:rsidRDefault="00024414" w:rsidP="002208FC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</w:p>
    <w:p w14:paraId="3EA8ECAA" w14:textId="77777777" w:rsidR="00C7031D" w:rsidRPr="005B786F" w:rsidRDefault="00C7031D" w:rsidP="002208FC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</w:p>
    <w:p w14:paraId="222E7590" w14:textId="0FA4D908" w:rsidR="00C7031D" w:rsidRPr="005B786F" w:rsidRDefault="008E1DD0" w:rsidP="008E1DD0">
      <w:pPr>
        <w:tabs>
          <w:tab w:val="left" w:pos="4029"/>
        </w:tabs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  <w:r w:rsidRPr="005B786F">
        <w:rPr>
          <w:rFonts w:ascii="LindeDaxOffice Medium" w:hAnsi="LindeDaxOffice Medium"/>
          <w:sz w:val="20"/>
          <w:szCs w:val="20"/>
        </w:rPr>
        <w:tab/>
      </w:r>
    </w:p>
    <w:p w14:paraId="225457C4" w14:textId="77777777" w:rsidR="00C7031D" w:rsidRPr="005B786F" w:rsidRDefault="00C7031D" w:rsidP="00C7031D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5B786F">
        <w:rPr>
          <w:rFonts w:ascii="LindeDaxOffice Medium" w:hAnsi="LindeDaxOffice Medium"/>
          <w:b/>
          <w:caps/>
          <w:color w:val="000000"/>
          <w:sz w:val="24"/>
        </w:rPr>
        <w:t>Esta página não deve ser impressa, é apenas para controle do histórico de versões.</w:t>
      </w:r>
    </w:p>
    <w:p w14:paraId="18B7B879" w14:textId="77777777" w:rsidR="00C7031D" w:rsidRPr="005B786F" w:rsidRDefault="00C7031D" w:rsidP="00C7031D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</w:p>
    <w:p w14:paraId="5BB2F0BF" w14:textId="77777777" w:rsidR="00C7031D" w:rsidRPr="005B786F" w:rsidRDefault="00C7031D" w:rsidP="00C7031D">
      <w:pPr>
        <w:autoSpaceDE w:val="0"/>
        <w:autoSpaceDN w:val="0"/>
        <w:adjustRightInd w:val="0"/>
        <w:jc w:val="both"/>
        <w:rPr>
          <w:rFonts w:ascii="LindeDaxOffice Medium" w:hAnsi="LindeDaxOffice Medium"/>
          <w:b/>
          <w:caps/>
          <w:color w:val="000000"/>
          <w:sz w:val="24"/>
        </w:rPr>
      </w:pPr>
      <w:r w:rsidRPr="005B786F">
        <w:rPr>
          <w:rFonts w:ascii="LindeDaxOffice Medium" w:hAnsi="LindeDaxOffice Medium"/>
          <w:b/>
          <w:caps/>
          <w:color w:val="000000"/>
          <w:sz w:val="24"/>
        </w:rPr>
        <w:t>Histórico de Versões</w:t>
      </w:r>
    </w:p>
    <w:p w14:paraId="4C6340E3" w14:textId="77777777" w:rsidR="00C7031D" w:rsidRPr="005B786F" w:rsidRDefault="00C7031D" w:rsidP="00C7031D">
      <w:pPr>
        <w:autoSpaceDE w:val="0"/>
        <w:autoSpaceDN w:val="0"/>
        <w:adjustRightInd w:val="0"/>
        <w:jc w:val="both"/>
        <w:rPr>
          <w:rFonts w:ascii="LindeDaxOffice Medium" w:hAnsi="LindeDaxOffice Medium"/>
          <w:color w:val="000000"/>
          <w:szCs w:val="20"/>
        </w:rPr>
      </w:pPr>
    </w:p>
    <w:tbl>
      <w:tblPr>
        <w:tblW w:w="1048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353"/>
        <w:gridCol w:w="7092"/>
      </w:tblGrid>
      <w:tr w:rsidR="00C7031D" w:rsidRPr="005B786F" w14:paraId="1F256205" w14:textId="77777777" w:rsidTr="001210F9">
        <w:trPr>
          <w:trHeight w:val="256"/>
        </w:trPr>
        <w:tc>
          <w:tcPr>
            <w:tcW w:w="2035" w:type="dxa"/>
            <w:shd w:val="clear" w:color="auto" w:fill="auto"/>
            <w:noWrap/>
            <w:vAlign w:val="bottom"/>
            <w:hideMark/>
          </w:tcPr>
          <w:p w14:paraId="16BD29B2" w14:textId="77777777" w:rsidR="00C7031D" w:rsidRPr="005B786F" w:rsidRDefault="00C7031D" w:rsidP="00C43506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 xml:space="preserve">Revisão 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14:paraId="71F55459" w14:textId="77777777" w:rsidR="00C7031D" w:rsidRPr="005B786F" w:rsidRDefault="00C7031D" w:rsidP="00C43506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Data</w:t>
            </w:r>
          </w:p>
        </w:tc>
        <w:tc>
          <w:tcPr>
            <w:tcW w:w="7092" w:type="dxa"/>
            <w:shd w:val="clear" w:color="auto" w:fill="auto"/>
            <w:noWrap/>
            <w:vAlign w:val="bottom"/>
            <w:hideMark/>
          </w:tcPr>
          <w:p w14:paraId="6BB1CD7F" w14:textId="77777777" w:rsidR="00C7031D" w:rsidRPr="005B786F" w:rsidRDefault="00C7031D" w:rsidP="00C43506">
            <w:pPr>
              <w:jc w:val="center"/>
              <w:rPr>
                <w:rFonts w:ascii="LindeDaxOffice Medium" w:hAnsi="LindeDaxOffice Medium"/>
                <w:b/>
                <w:bCs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b/>
                <w:bCs/>
                <w:color w:val="000000"/>
                <w:szCs w:val="20"/>
              </w:rPr>
              <w:t>Descrição das Alterações</w:t>
            </w:r>
          </w:p>
        </w:tc>
      </w:tr>
      <w:tr w:rsidR="00BA0A97" w:rsidRPr="005B786F" w14:paraId="158465AF" w14:textId="77777777" w:rsidTr="001210F9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697627F5" w14:textId="092E748B" w:rsidR="00BA0A97" w:rsidRPr="005B786F" w:rsidRDefault="00BA0A97" w:rsidP="00C43506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74E7BE8A" w14:textId="1F42EB8F" w:rsidR="00BA0A97" w:rsidRPr="005B786F" w:rsidRDefault="00BA0A97" w:rsidP="00C43506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>12/06/2026</w:t>
            </w:r>
          </w:p>
        </w:tc>
        <w:tc>
          <w:tcPr>
            <w:tcW w:w="7092" w:type="dxa"/>
            <w:shd w:val="clear" w:color="auto" w:fill="auto"/>
            <w:noWrap/>
            <w:vAlign w:val="center"/>
          </w:tcPr>
          <w:p w14:paraId="79859A7B" w14:textId="775142F8" w:rsidR="00BA0A97" w:rsidRPr="005B786F" w:rsidRDefault="00C83849" w:rsidP="00FA0090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>
              <w:rPr>
                <w:rFonts w:ascii="LindeDaxOffice Medium" w:hAnsi="LindeDaxOffice Medium"/>
                <w:color w:val="000000"/>
                <w:szCs w:val="20"/>
              </w:rPr>
              <w:t xml:space="preserve">Inclusão </w:t>
            </w:r>
            <w:r w:rsidR="00A1492D">
              <w:rPr>
                <w:rFonts w:ascii="LindeDaxOffice Medium" w:hAnsi="LindeDaxOffice Medium"/>
                <w:color w:val="000000"/>
                <w:szCs w:val="20"/>
              </w:rPr>
              <w:t xml:space="preserve">de onde constam as </w:t>
            </w:r>
            <w:r>
              <w:rPr>
                <w:rFonts w:ascii="LindeDaxOffice Medium" w:hAnsi="LindeDaxOffice Medium"/>
                <w:color w:val="000000"/>
                <w:szCs w:val="20"/>
              </w:rPr>
              <w:t>informa</w:t>
            </w:r>
            <w:r w:rsidR="00A1492D">
              <w:rPr>
                <w:rFonts w:ascii="LindeDaxOffice Medium" w:hAnsi="LindeDaxOffice Medium"/>
                <w:color w:val="000000"/>
                <w:szCs w:val="20"/>
              </w:rPr>
              <w:t>ções:</w:t>
            </w:r>
            <w:r>
              <w:rPr>
                <w:rFonts w:ascii="LindeDaxOffice Medium" w:hAnsi="LindeDaxOffice Medium"/>
                <w:color w:val="000000"/>
                <w:szCs w:val="20"/>
              </w:rPr>
              <w:t xml:space="preserve"> </w:t>
            </w:r>
            <w:r w:rsidRPr="00C83849">
              <w:rPr>
                <w:rFonts w:ascii="LindeDaxOffice Medium" w:hAnsi="LindeDaxOffice Medium"/>
                <w:color w:val="000000"/>
                <w:szCs w:val="20"/>
              </w:rPr>
              <w:t>Quantidade, Número de Lote, Data de Fabricação</w:t>
            </w:r>
            <w:r w:rsidR="009F04C1">
              <w:rPr>
                <w:rFonts w:ascii="LindeDaxOffice Medium" w:hAnsi="LindeDaxOffice Medium"/>
                <w:color w:val="000000"/>
                <w:szCs w:val="20"/>
              </w:rPr>
              <w:t>,</w:t>
            </w:r>
            <w:r w:rsidRPr="00C83849">
              <w:rPr>
                <w:rFonts w:ascii="LindeDaxOffice Medium" w:hAnsi="LindeDaxOffice Medium"/>
                <w:color w:val="000000"/>
                <w:szCs w:val="20"/>
              </w:rPr>
              <w:t xml:space="preserve"> Prazo de Validade</w:t>
            </w:r>
            <w:r w:rsidR="009F04C1">
              <w:rPr>
                <w:rFonts w:ascii="LindeDaxOffice Medium" w:hAnsi="LindeDaxOffice Medium"/>
                <w:color w:val="000000"/>
                <w:szCs w:val="20"/>
              </w:rPr>
              <w:t>, Notificado por e Envasado por</w:t>
            </w:r>
            <w:r w:rsidR="00A1492D">
              <w:rPr>
                <w:rFonts w:ascii="LindeDaxOffice Medium" w:hAnsi="LindeDaxOffice Medium"/>
                <w:color w:val="000000"/>
                <w:szCs w:val="20"/>
              </w:rPr>
              <w:t xml:space="preserve">. </w:t>
            </w:r>
            <w:r w:rsidR="00626478">
              <w:rPr>
                <w:rFonts w:ascii="LindeDaxOffice Medium" w:hAnsi="LindeDaxOffice Medium"/>
                <w:color w:val="000000"/>
                <w:szCs w:val="20"/>
              </w:rPr>
              <w:t>Inclusão do termo “Ficha Técnica” na identificação do formulário.</w:t>
            </w:r>
            <w:r w:rsidR="007A5DD8">
              <w:rPr>
                <w:rFonts w:ascii="LindeDaxOffice Medium" w:hAnsi="LindeDaxOffice Medium"/>
                <w:color w:val="000000"/>
                <w:szCs w:val="20"/>
              </w:rPr>
              <w:t xml:space="preserve"> Reorganização na ordem dos itens conforme Anexo I da RDC 870/2024. Não houve alteração do conteúdo das demais informações que continuam conforme</w:t>
            </w:r>
            <w:r w:rsidR="00402569">
              <w:rPr>
                <w:rFonts w:ascii="LindeDaxOffice Medium" w:hAnsi="LindeDaxOffice Medium"/>
                <w:color w:val="000000"/>
                <w:szCs w:val="20"/>
              </w:rPr>
              <w:t xml:space="preserve"> </w:t>
            </w:r>
            <w:r w:rsidR="00402569" w:rsidRPr="00402569">
              <w:rPr>
                <w:rFonts w:ascii="LindeDaxOffice Medium" w:hAnsi="LindeDaxOffice Medium"/>
                <w:color w:val="000000"/>
                <w:szCs w:val="20"/>
              </w:rPr>
              <w:t>CD-28620</w:t>
            </w:r>
            <w:r w:rsidR="00402569">
              <w:rPr>
                <w:rFonts w:ascii="LindeDaxOffice Medium" w:hAnsi="LindeDaxOffice Medium"/>
                <w:color w:val="000000"/>
                <w:szCs w:val="20"/>
              </w:rPr>
              <w:t xml:space="preserve"> </w:t>
            </w:r>
            <w:r w:rsidR="009F02BB">
              <w:rPr>
                <w:rFonts w:ascii="LindeDaxOffice Medium" w:hAnsi="LindeDaxOffice Medium"/>
                <w:color w:val="000000"/>
                <w:szCs w:val="20"/>
              </w:rPr>
              <w:t>rev 15.</w:t>
            </w:r>
          </w:p>
        </w:tc>
      </w:tr>
      <w:tr w:rsidR="00C7031D" w:rsidRPr="005B786F" w14:paraId="0DDA2F2D" w14:textId="77777777" w:rsidTr="001210F9">
        <w:trPr>
          <w:trHeight w:val="758"/>
        </w:trPr>
        <w:tc>
          <w:tcPr>
            <w:tcW w:w="2035" w:type="dxa"/>
            <w:shd w:val="clear" w:color="auto" w:fill="auto"/>
            <w:noWrap/>
            <w:vAlign w:val="center"/>
          </w:tcPr>
          <w:p w14:paraId="782E2E68" w14:textId="176BD296" w:rsidR="00C7031D" w:rsidRPr="005B786F" w:rsidRDefault="00C7031D" w:rsidP="00C43506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color w:val="000000"/>
                <w:szCs w:val="20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1EB74EC2" w14:textId="513EBFD2" w:rsidR="00C7031D" w:rsidRPr="005B786F" w:rsidRDefault="00F9566F" w:rsidP="00C43506">
            <w:pPr>
              <w:jc w:val="center"/>
              <w:rPr>
                <w:rFonts w:ascii="LindeDaxOffice Medium" w:hAnsi="LindeDaxOffice Medium"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color w:val="000000"/>
                <w:szCs w:val="20"/>
              </w:rPr>
              <w:t>0</w:t>
            </w:r>
            <w:r w:rsidR="001301CB" w:rsidRPr="005B786F">
              <w:rPr>
                <w:rFonts w:ascii="LindeDaxOffice Medium" w:hAnsi="LindeDaxOffice Medium"/>
                <w:color w:val="000000"/>
                <w:szCs w:val="20"/>
              </w:rPr>
              <w:t>4</w:t>
            </w:r>
            <w:r w:rsidR="00C7031D" w:rsidRPr="005B786F">
              <w:rPr>
                <w:rFonts w:ascii="LindeDaxOffice Medium" w:hAnsi="LindeDaxOffice Medium"/>
                <w:color w:val="000000"/>
                <w:szCs w:val="20"/>
              </w:rPr>
              <w:t>/0</w:t>
            </w:r>
            <w:r w:rsidRPr="005B786F">
              <w:rPr>
                <w:rFonts w:ascii="LindeDaxOffice Medium" w:hAnsi="LindeDaxOffice Medium"/>
                <w:color w:val="000000"/>
                <w:szCs w:val="20"/>
              </w:rPr>
              <w:t>4</w:t>
            </w:r>
            <w:r w:rsidR="00C7031D" w:rsidRPr="005B786F">
              <w:rPr>
                <w:rFonts w:ascii="LindeDaxOffice Medium" w:hAnsi="LindeDaxOffice Medium"/>
                <w:color w:val="000000"/>
                <w:szCs w:val="20"/>
              </w:rPr>
              <w:t>/2025</w:t>
            </w:r>
          </w:p>
        </w:tc>
        <w:tc>
          <w:tcPr>
            <w:tcW w:w="7092" w:type="dxa"/>
            <w:shd w:val="clear" w:color="auto" w:fill="auto"/>
            <w:noWrap/>
            <w:vAlign w:val="center"/>
          </w:tcPr>
          <w:p w14:paraId="79552F6E" w14:textId="77777777" w:rsidR="00C7031D" w:rsidRPr="005B786F" w:rsidRDefault="00C7031D" w:rsidP="00FA0090">
            <w:pPr>
              <w:spacing w:after="0"/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color w:val="000000"/>
                <w:szCs w:val="20"/>
              </w:rPr>
              <w:t>Incluído histórico de versões.</w:t>
            </w:r>
          </w:p>
          <w:p w14:paraId="54098FB0" w14:textId="3AECF399" w:rsidR="00C7031D" w:rsidRPr="005B786F" w:rsidRDefault="00FA0090" w:rsidP="00C43506">
            <w:pPr>
              <w:jc w:val="both"/>
              <w:rPr>
                <w:rFonts w:ascii="LindeDaxOffice Medium" w:hAnsi="LindeDaxOffice Medium"/>
                <w:color w:val="000000"/>
                <w:szCs w:val="20"/>
              </w:rPr>
            </w:pPr>
            <w:r w:rsidRPr="005B786F">
              <w:rPr>
                <w:rFonts w:ascii="LindeDaxOffice Medium" w:hAnsi="LindeDaxOffice Medium"/>
                <w:color w:val="000000"/>
                <w:szCs w:val="20"/>
              </w:rPr>
              <w:t xml:space="preserve">Harmonização ao CCDS </w:t>
            </w:r>
            <w:r w:rsidR="005C4A95" w:rsidRPr="005B786F">
              <w:rPr>
                <w:rFonts w:ascii="LindeDaxOffice Medium" w:hAnsi="LindeDaxOffice Medium"/>
                <w:color w:val="000000"/>
                <w:szCs w:val="20"/>
              </w:rPr>
              <w:t xml:space="preserve">CD-28620 </w:t>
            </w:r>
            <w:r w:rsidR="008D1804">
              <w:rPr>
                <w:rFonts w:ascii="LindeDaxOffice Medium" w:hAnsi="LindeDaxOffice Medium"/>
                <w:color w:val="000000"/>
                <w:szCs w:val="20"/>
              </w:rPr>
              <w:t>r</w:t>
            </w:r>
            <w:r w:rsidR="00E96584" w:rsidRPr="005B786F">
              <w:rPr>
                <w:rFonts w:ascii="LindeDaxOffice Medium" w:hAnsi="LindeDaxOffice Medium"/>
                <w:color w:val="000000"/>
                <w:szCs w:val="20"/>
              </w:rPr>
              <w:t>ev 15</w:t>
            </w:r>
            <w:r w:rsidR="00F35ADB" w:rsidRPr="005B786F">
              <w:rPr>
                <w:rFonts w:ascii="LindeDaxOffice Medium" w:hAnsi="LindeDaxOffice Medium"/>
                <w:color w:val="000000"/>
                <w:szCs w:val="20"/>
              </w:rPr>
              <w:t xml:space="preserve">, à RDC 870/2024 e </w:t>
            </w:r>
            <w:r w:rsidR="00F37EBB" w:rsidRPr="005B786F">
              <w:rPr>
                <w:rFonts w:ascii="LindeDaxOffice Medium" w:hAnsi="LindeDaxOffice Medium"/>
                <w:color w:val="000000"/>
                <w:szCs w:val="20"/>
              </w:rPr>
              <w:t xml:space="preserve">à </w:t>
            </w:r>
            <w:r w:rsidR="00F35ADB" w:rsidRPr="005B786F">
              <w:rPr>
                <w:rFonts w:ascii="LindeDaxOffice Medium" w:hAnsi="LindeDaxOffice Medium"/>
                <w:color w:val="000000"/>
                <w:szCs w:val="20"/>
              </w:rPr>
              <w:t>IN 301/2024</w:t>
            </w:r>
            <w:r w:rsidR="00C7031D" w:rsidRPr="005B786F">
              <w:rPr>
                <w:rFonts w:ascii="LindeDaxOffice Medium" w:hAnsi="LindeDaxOffice Medium"/>
                <w:color w:val="000000"/>
                <w:szCs w:val="20"/>
              </w:rPr>
              <w:t>.</w:t>
            </w:r>
          </w:p>
        </w:tc>
      </w:tr>
    </w:tbl>
    <w:p w14:paraId="7CD56A1A" w14:textId="77777777" w:rsidR="00C7031D" w:rsidRPr="005B786F" w:rsidRDefault="00C7031D" w:rsidP="002208FC">
      <w:pPr>
        <w:spacing w:after="0" w:line="240" w:lineRule="auto"/>
        <w:jc w:val="both"/>
        <w:rPr>
          <w:rFonts w:ascii="LindeDaxOffice Medium" w:hAnsi="LindeDaxOffice Medium"/>
          <w:sz w:val="20"/>
          <w:szCs w:val="20"/>
        </w:rPr>
      </w:pPr>
    </w:p>
    <w:sectPr w:rsidR="00C7031D" w:rsidRPr="005B786F" w:rsidSect="00402980">
      <w:footerReference w:type="default" r:id="rId11"/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057D" w14:textId="77777777" w:rsidR="00580925" w:rsidRDefault="00580925" w:rsidP="00FF6AAF">
      <w:pPr>
        <w:spacing w:after="0" w:line="240" w:lineRule="auto"/>
      </w:pPr>
      <w:r>
        <w:separator/>
      </w:r>
    </w:p>
  </w:endnote>
  <w:endnote w:type="continuationSeparator" w:id="0">
    <w:p w14:paraId="12BCDD94" w14:textId="77777777" w:rsidR="00580925" w:rsidRDefault="00580925" w:rsidP="00FF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deDaxOffice Medium">
    <w:panose1 w:val="020B0600000000020000"/>
    <w:charset w:val="00"/>
    <w:family w:val="swiss"/>
    <w:pitch w:val="variable"/>
    <w:sig w:usb0="800000AF" w:usb1="50002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A459" w14:textId="763E0E57" w:rsidR="00FF6AAF" w:rsidRPr="00FF6AAF" w:rsidRDefault="00FF6AAF" w:rsidP="00FF6AAF">
    <w:pPr>
      <w:pStyle w:val="Footer"/>
      <w:jc w:val="right"/>
      <w:rPr>
        <w:sz w:val="18"/>
        <w:szCs w:val="18"/>
      </w:rPr>
    </w:pPr>
    <w:r w:rsidRPr="00FF6AAF">
      <w:rPr>
        <w:sz w:val="18"/>
        <w:szCs w:val="18"/>
      </w:rPr>
      <w:t>Verso Certificado Med</w:t>
    </w:r>
    <w:r w:rsidR="00FE6CD1">
      <w:rPr>
        <w:sz w:val="18"/>
        <w:szCs w:val="18"/>
      </w:rPr>
      <w:t>i</w:t>
    </w:r>
    <w:r w:rsidRPr="00FF6AAF">
      <w:rPr>
        <w:sz w:val="18"/>
        <w:szCs w:val="18"/>
      </w:rPr>
      <w:t xml:space="preserve">Pure </w:t>
    </w:r>
    <w:r w:rsidR="00D7658A">
      <w:rPr>
        <w:sz w:val="18"/>
        <w:szCs w:val="18"/>
      </w:rPr>
      <w:t>-</w:t>
    </w:r>
    <w:r w:rsidR="001C2ECB">
      <w:rPr>
        <w:sz w:val="18"/>
        <w:szCs w:val="18"/>
      </w:rPr>
      <w:t xml:space="preserve"> </w:t>
    </w:r>
    <w:r w:rsidR="00D7658A" w:rsidRPr="005635DB">
      <w:rPr>
        <w:i/>
        <w:iCs/>
        <w:color w:val="0000FF"/>
        <w:sz w:val="18"/>
        <w:szCs w:val="18"/>
      </w:rPr>
      <w:t>Ficha Técnica</w:t>
    </w:r>
    <w:r w:rsidR="00D7658A">
      <w:rPr>
        <w:sz w:val="18"/>
        <w:szCs w:val="18"/>
      </w:rPr>
      <w:t xml:space="preserve"> - </w:t>
    </w:r>
    <w:r w:rsidR="001C2ECB">
      <w:rPr>
        <w:sz w:val="18"/>
        <w:szCs w:val="18"/>
      </w:rPr>
      <w:t xml:space="preserve">Folheto Informativo </w:t>
    </w:r>
    <w:r w:rsidR="00CF513E">
      <w:rPr>
        <w:sz w:val="18"/>
        <w:szCs w:val="18"/>
      </w:rPr>
      <w:t xml:space="preserve">- </w:t>
    </w:r>
    <w:r w:rsidRPr="00FF6AAF">
      <w:rPr>
        <w:sz w:val="18"/>
        <w:szCs w:val="18"/>
      </w:rPr>
      <w:t xml:space="preserve">Oxigênio Líquido Medicinal </w:t>
    </w:r>
    <w:r w:rsidR="00BD4A20">
      <w:rPr>
        <w:sz w:val="18"/>
        <w:szCs w:val="18"/>
      </w:rPr>
      <w:t xml:space="preserve">- </w:t>
    </w:r>
    <w:r w:rsidRPr="00FF6AAF">
      <w:rPr>
        <w:sz w:val="18"/>
        <w:szCs w:val="18"/>
      </w:rPr>
      <w:t>Rev 0</w:t>
    </w:r>
    <w:r w:rsidR="00D7658A" w:rsidRPr="00D7658A">
      <w:rPr>
        <w:i/>
        <w:iCs/>
        <w:color w:val="0000FF"/>
        <w:sz w:val="18"/>
        <w:szCs w:val="18"/>
      </w:rPr>
      <w:t>2</w:t>
    </w:r>
    <w:r w:rsidRPr="00FF6AAF">
      <w:rPr>
        <w:sz w:val="18"/>
        <w:szCs w:val="18"/>
      </w:rPr>
      <w:t xml:space="preserve"> - 0</w:t>
    </w:r>
    <w:r w:rsidR="00D7658A" w:rsidRPr="00D7658A">
      <w:rPr>
        <w:i/>
        <w:iCs/>
        <w:color w:val="0000FF"/>
        <w:sz w:val="18"/>
        <w:szCs w:val="18"/>
      </w:rPr>
      <w:t>6</w:t>
    </w:r>
    <w:r w:rsidRPr="00FF6AAF">
      <w:rPr>
        <w:sz w:val="18"/>
        <w:szCs w:val="18"/>
      </w:rPr>
      <w:t>/202</w:t>
    </w:r>
    <w:r w:rsidR="00D7658A" w:rsidRPr="00D7658A">
      <w:rPr>
        <w:i/>
        <w:iCs/>
        <w:color w:val="0000FF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E511E" w14:textId="77777777" w:rsidR="00580925" w:rsidRDefault="00580925" w:rsidP="00FF6AAF">
      <w:pPr>
        <w:spacing w:after="0" w:line="240" w:lineRule="auto"/>
      </w:pPr>
      <w:r>
        <w:separator/>
      </w:r>
    </w:p>
  </w:footnote>
  <w:footnote w:type="continuationSeparator" w:id="0">
    <w:p w14:paraId="07A4B353" w14:textId="77777777" w:rsidR="00580925" w:rsidRDefault="00580925" w:rsidP="00FF6A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mvwf3lil9XM50y+yC4Or48XG56eLcfBCDG0cEf7U+3IZHctP9qLf+/LDIJA7VQn/PrmrvM0kvyxz6nmfNzPrWg==" w:salt="b4HcqRYZTAnMz1q5Ahran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DC"/>
    <w:rsid w:val="000072CE"/>
    <w:rsid w:val="00024414"/>
    <w:rsid w:val="00047F8B"/>
    <w:rsid w:val="00080D50"/>
    <w:rsid w:val="001210F9"/>
    <w:rsid w:val="001301CB"/>
    <w:rsid w:val="001954F7"/>
    <w:rsid w:val="001A6D11"/>
    <w:rsid w:val="001A7BBA"/>
    <w:rsid w:val="001C2ECB"/>
    <w:rsid w:val="001C7238"/>
    <w:rsid w:val="002208FC"/>
    <w:rsid w:val="002E614E"/>
    <w:rsid w:val="003018A8"/>
    <w:rsid w:val="003066FE"/>
    <w:rsid w:val="003347FE"/>
    <w:rsid w:val="003E54CB"/>
    <w:rsid w:val="00402569"/>
    <w:rsid w:val="00402980"/>
    <w:rsid w:val="00405FBC"/>
    <w:rsid w:val="004677F7"/>
    <w:rsid w:val="0047350C"/>
    <w:rsid w:val="004B7FBB"/>
    <w:rsid w:val="004E51E5"/>
    <w:rsid w:val="00535ED2"/>
    <w:rsid w:val="005635DB"/>
    <w:rsid w:val="00565989"/>
    <w:rsid w:val="00580925"/>
    <w:rsid w:val="005A0B48"/>
    <w:rsid w:val="005A5AC8"/>
    <w:rsid w:val="005B6AC1"/>
    <w:rsid w:val="005B786F"/>
    <w:rsid w:val="005C4A95"/>
    <w:rsid w:val="005E088E"/>
    <w:rsid w:val="005F125C"/>
    <w:rsid w:val="00626478"/>
    <w:rsid w:val="00627757"/>
    <w:rsid w:val="006711F2"/>
    <w:rsid w:val="006B0769"/>
    <w:rsid w:val="006B3B8B"/>
    <w:rsid w:val="00701232"/>
    <w:rsid w:val="00771D07"/>
    <w:rsid w:val="007A5DD8"/>
    <w:rsid w:val="007B23ED"/>
    <w:rsid w:val="007D0559"/>
    <w:rsid w:val="008C1FA3"/>
    <w:rsid w:val="008D1804"/>
    <w:rsid w:val="008E1DD0"/>
    <w:rsid w:val="00971511"/>
    <w:rsid w:val="00990BA4"/>
    <w:rsid w:val="009A747B"/>
    <w:rsid w:val="009F02BB"/>
    <w:rsid w:val="009F04C1"/>
    <w:rsid w:val="00A012B3"/>
    <w:rsid w:val="00A1492D"/>
    <w:rsid w:val="00A74823"/>
    <w:rsid w:val="00A93999"/>
    <w:rsid w:val="00AD4725"/>
    <w:rsid w:val="00B06BDB"/>
    <w:rsid w:val="00B468A8"/>
    <w:rsid w:val="00B46DA7"/>
    <w:rsid w:val="00B53F0C"/>
    <w:rsid w:val="00B97D70"/>
    <w:rsid w:val="00BA0A97"/>
    <w:rsid w:val="00BA67AF"/>
    <w:rsid w:val="00BD4A20"/>
    <w:rsid w:val="00C241C8"/>
    <w:rsid w:val="00C61491"/>
    <w:rsid w:val="00C7031D"/>
    <w:rsid w:val="00C83849"/>
    <w:rsid w:val="00CE0C18"/>
    <w:rsid w:val="00CF513E"/>
    <w:rsid w:val="00D16EF6"/>
    <w:rsid w:val="00D27063"/>
    <w:rsid w:val="00D37FF7"/>
    <w:rsid w:val="00D41F80"/>
    <w:rsid w:val="00D57605"/>
    <w:rsid w:val="00D7658A"/>
    <w:rsid w:val="00D85B23"/>
    <w:rsid w:val="00DB2C58"/>
    <w:rsid w:val="00DD0EDC"/>
    <w:rsid w:val="00E074E5"/>
    <w:rsid w:val="00E77D3F"/>
    <w:rsid w:val="00E96584"/>
    <w:rsid w:val="00EB0C7B"/>
    <w:rsid w:val="00EE5E9A"/>
    <w:rsid w:val="00F2470F"/>
    <w:rsid w:val="00F35ADB"/>
    <w:rsid w:val="00F37EBB"/>
    <w:rsid w:val="00F47E4A"/>
    <w:rsid w:val="00F61021"/>
    <w:rsid w:val="00F9566F"/>
    <w:rsid w:val="00FA0090"/>
    <w:rsid w:val="00FE6CD1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720B1"/>
  <w14:defaultImageDpi w14:val="0"/>
  <w15:docId w15:val="{C3C63223-E522-420D-B1B1-CCFC2219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AA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6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A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57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I_x002d_QO xmlns="4213deca-91d5-4863-a86b-37f9ba5d141a">Não</QI_x002d_QO>
    <Confidentiality xmlns="http://schemas.microsoft.com/sharepoint/v3/fields">Praxair Internal</Confidentiality>
    <Status xmlns="4213deca-91d5-4863-a86b-37f9ba5d141a">Vigente</Status>
    <Normas_x0020_Aplic_x00e1_veis xmlns="4213deca-91d5-4863-a86b-37f9ba5d141a">NQ 20006, NQ 20020, NQ 10059</Normas_x0020_Aplic_x00e1_veis>
    <Revis_x00e3_o xmlns="4213deca-91d5-4863-a86b-37f9ba5d141a">02</Revis_x00e3_o>
    <Para_x0020_qualifica_x00e7__x00e3_o_x0020__x0028_QI_x0020__x002f__x0020_QO_x0029_ xmlns="4213deca-91d5-4863-a86b-37f9ba5d141a">Não</Para_x0020_qualifica_x00e7__x00e3_o_x0020__x0028_QI_x0020__x002f__x0020_QO_x0029_>
    <Data xmlns="4213deca-91d5-4863-a86b-37f9ba5d141a">06/2026</Data>
    <DocumentDescription xmlns="http://schemas.microsoft.com/sharepoint/v3/fields" xsi:nil="true"/>
  </documentManagement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635483159594472183</Data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axair Document" ma:contentTypeID="0x0101005332F085960B44D6AE9F21E430192CB90100872A1D93FF673044B244C6FECF66743C" ma:contentTypeVersion="15" ma:contentTypeDescription="Praxair Content Types" ma:contentTypeScope="" ma:versionID="c45bebc04acd77859484e5411a638282">
  <xsd:schema xmlns:xsd="http://www.w3.org/2001/XMLSchema" xmlns:xs="http://www.w3.org/2001/XMLSchema" xmlns:p="http://schemas.microsoft.com/office/2006/metadata/properties" xmlns:ns1="4213deca-91d5-4863-a86b-37f9ba5d141a" xmlns:ns3="http://schemas.microsoft.com/sharepoint/v3/fields" targetNamespace="http://schemas.microsoft.com/office/2006/metadata/properties" ma:root="true" ma:fieldsID="acb979e7e82243b82305d19e93245340" ns1:_="" ns3:_="">
    <xsd:import namespace="4213deca-91d5-4863-a86b-37f9ba5d14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ara_x0020_qualifica_x00e7__x00e3_o_x0020__x0028_QI_x0020__x002f__x0020_QO_x0029_" minOccurs="0"/>
                <xsd:element ref="ns1:Normas_x0020_Aplic_x00e1_veis" minOccurs="0"/>
                <xsd:element ref="ns1:Revis_x00e3_o"/>
                <xsd:element ref="ns1:Data" minOccurs="0"/>
                <xsd:element ref="ns1:Status" minOccurs="0"/>
                <xsd:element ref="ns1:QI_x002d_QO" minOccurs="0"/>
                <xsd:element ref="ns3:Confidentiality" minOccurs="0"/>
                <xsd:element ref="ns3:Documen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3deca-91d5-4863-a86b-37f9ba5d141a" elementFormDefault="qualified">
    <xsd:import namespace="http://schemas.microsoft.com/office/2006/documentManagement/types"/>
    <xsd:import namespace="http://schemas.microsoft.com/office/infopath/2007/PartnerControls"/>
    <xsd:element name="Para_x0020_qualifica_x00e7__x00e3_o_x0020__x0028_QI_x0020__x002f__x0020_QO_x0029_" ma:index="0" nillable="true" ma:displayName="Para qualificação (QI / QO)" ma:default="Não" ma:format="RadioButtons" ma:internalName="Para_x0020_qualifica_x00e7__x00e3_o_x0020__x0028_QI_x0020__x002f__x0020_QO_x0029_">
      <xsd:simpleType>
        <xsd:restriction base="dms:Choice">
          <xsd:enumeration value="Não"/>
          <xsd:enumeration value="Sim"/>
        </xsd:restriction>
      </xsd:simpleType>
    </xsd:element>
    <xsd:element name="Normas_x0020_Aplic_x00e1_veis" ma:index="2" nillable="true" ma:displayName="Normas Aplicáveis" ma:internalName="Normas_x0020_Aplic_x00e1_veis">
      <xsd:simpleType>
        <xsd:restriction base="dms:Text">
          <xsd:maxLength value="255"/>
        </xsd:restriction>
      </xsd:simpleType>
    </xsd:element>
    <xsd:element name="Revis_x00e3_o" ma:index="4" ma:displayName="Revisão" ma:internalName="Revis_x00e3_o" ma:readOnly="false">
      <xsd:simpleType>
        <xsd:restriction base="dms:Text">
          <xsd:maxLength value="8"/>
        </xsd:restriction>
      </xsd:simpleType>
    </xsd:element>
    <xsd:element name="Data" ma:index="5" nillable="true" ma:displayName="Data" ma:internalName="Data">
      <xsd:simpleType>
        <xsd:restriction base="dms:Text">
          <xsd:maxLength value="8"/>
        </xsd:restriction>
      </xsd:simpleType>
    </xsd:element>
    <xsd:element name="Status" ma:index="6" nillable="true" ma:displayName="Status" ma:default="Vigente" ma:format="RadioButtons" ma:internalName="Status">
      <xsd:simpleType>
        <xsd:restriction base="dms:Choice">
          <xsd:enumeration value="Vigente"/>
          <xsd:enumeration value="Cancelado"/>
        </xsd:restriction>
      </xsd:simpleType>
    </xsd:element>
    <xsd:element name="QI_x002d_QO" ma:index="7" nillable="true" ma:displayName="QI-QO" ma:default="Não" ma:format="RadioButtons" ma:internalName="QI_x002d_QO">
      <xsd:simpleType>
        <xsd:restriction base="dms:Choice">
          <xsd:enumeration value="Não"/>
          <xsd:enumeration value="Si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Confidentiality" ma:index="8" nillable="true" ma:displayName="Confidentiality" ma:default="Praxair Internal" ma:description="Indicates whether or not this content may be shared outside Praxair.  Praxair Internal means that the document may not be shared with someone who is not a Praxair employee." ma:hidden="true" ma:internalName="Confidentiality" ma:readOnly="false">
      <xsd:simpleType>
        <xsd:restriction base="dms:Choice">
          <xsd:enumeration value="Praxair Internal"/>
          <xsd:enumeration value="High Confidentiality"/>
          <xsd:enumeration value="Public"/>
        </xsd:restriction>
      </xsd:simpleType>
    </xsd:element>
    <xsd:element name="DocumentDescription" ma:index="14" nillable="true" ma:displayName="Document Description" ma:description="Description of the document, if not obvious from the name.  Limited to 255 characters, including spaces." ma:hidden="true" ma:internalName="DocumentDescription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ipo de Conteúdo"/>
        <xsd:element ref="dc:title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AF2EB-12BB-4673-A516-5EE7CDF993A4}">
  <ds:schemaRefs>
    <ds:schemaRef ds:uri="http://purl.org/dc/terms/"/>
    <ds:schemaRef ds:uri="http://www.w3.org/XML/1998/namespace"/>
    <ds:schemaRef ds:uri="http://purl.org/dc/elements/1.1/"/>
    <ds:schemaRef ds:uri="4213deca-91d5-4863-a86b-37f9ba5d141a"/>
    <ds:schemaRef ds:uri="http://schemas.microsoft.com/office/2006/documentManagement/types"/>
    <ds:schemaRef ds:uri="http://purl.org/dc/dcmitype/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8557661-A63A-48AB-8912-06246981338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00C2CD-9090-4E25-A3ED-1EBAB4061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BACF6-51C9-4D1D-8D16-1FC08E84E1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89314A-473E-4E05-998E-756C34BB2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3deca-91d5-4863-a86b-37f9ba5d14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970</Words>
  <Characters>5243</Characters>
  <Application>Microsoft Office Word</Application>
  <DocSecurity>12</DocSecurity>
  <Lines>43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Verso Certificado MediPure - Ficha Técnica - Folheto Informativo - Oxigênio Líquido Medicinal</dc:title>
  <dc:subject/>
  <dc:creator>Rodrigo Pires</dc:creator>
  <cp:keywords/>
  <dc:description/>
  <cp:lastModifiedBy>Julia Costa</cp:lastModifiedBy>
  <cp:revision>2</cp:revision>
  <dcterms:created xsi:type="dcterms:W3CDTF">2026-06-15T14:42:00Z</dcterms:created>
  <dcterms:modified xsi:type="dcterms:W3CDTF">2026-06-15T14:42:00Z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0x0101005332F085960B44D6AE9F21E430192CB90100872A1D93FF673044B244C6FECF66743C</vt:lpwstr>
  </property>
  <property fmtid="{D5CDD505-2E9C-101B-9397-08002B2CF9AE}" pid="3" name="MediaServiceImageTags">
    <vt:lpwstr/>
  </property>
</Properties>
</file>