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0DA1" w14:textId="13CDAF90" w:rsidR="00DD0EDC" w:rsidRPr="006941CF" w:rsidRDefault="002E614E" w:rsidP="00BE70E6">
      <w:pPr>
        <w:jc w:val="both"/>
        <w:rPr>
          <w:rFonts w:ascii="LindeDaxOffice Medium" w:hAnsi="LindeDaxOffice Medium"/>
        </w:rPr>
      </w:pPr>
      <w:r w:rsidRPr="00E6573E">
        <w:rPr>
          <w:rFonts w:ascii="LindeDaxOffice Medium" w:hAnsi="LindeDaxOffice Medium"/>
          <w:b/>
          <w:bCs/>
        </w:rPr>
        <w:t xml:space="preserve">Nome do </w:t>
      </w:r>
      <w:r w:rsidR="00E6573E" w:rsidRPr="00E6573E">
        <w:rPr>
          <w:rFonts w:ascii="LindeDaxOffice Medium" w:hAnsi="LindeDaxOffice Medium"/>
          <w:b/>
          <w:bCs/>
        </w:rPr>
        <w:t>Gás Medicinal</w:t>
      </w:r>
      <w:r w:rsidRPr="00E6573E">
        <w:rPr>
          <w:rFonts w:ascii="LindeDaxOffice Medium" w:hAnsi="LindeDaxOffice Medium"/>
          <w:b/>
          <w:bCs/>
        </w:rPr>
        <w:t>:</w:t>
      </w:r>
      <w:r w:rsidRPr="006941CF">
        <w:rPr>
          <w:rFonts w:ascii="LindeDaxOffice Medium" w:hAnsi="LindeDaxOffice Medium"/>
        </w:rPr>
        <w:t xml:space="preserve"> </w:t>
      </w:r>
      <w:r w:rsidR="00F464B1" w:rsidRPr="006941CF">
        <w:rPr>
          <w:rFonts w:ascii="LindeDaxOffice Medium" w:hAnsi="LindeDaxOffice Medium"/>
        </w:rPr>
        <w:t>Nitrogênio</w:t>
      </w:r>
      <w:r w:rsidR="00DD0EDC" w:rsidRPr="006941CF">
        <w:rPr>
          <w:rFonts w:ascii="LindeDaxOffice Medium" w:hAnsi="LindeDaxOffice Medium"/>
        </w:rPr>
        <w:t xml:space="preserve"> Líquido Medicinal.</w:t>
      </w:r>
    </w:p>
    <w:p w14:paraId="54149E1F" w14:textId="14999F10" w:rsidR="002E614E" w:rsidRPr="006941CF" w:rsidRDefault="00E6573E" w:rsidP="00BE70E6">
      <w:pPr>
        <w:jc w:val="both"/>
        <w:rPr>
          <w:rFonts w:ascii="LindeDaxOffice Medium" w:hAnsi="LindeDaxOffice Medium"/>
        </w:rPr>
      </w:pPr>
      <w:r w:rsidRPr="00E6573E">
        <w:rPr>
          <w:rFonts w:ascii="LindeDaxOffice Medium" w:hAnsi="LindeDaxOffice Medium"/>
          <w:b/>
          <w:bCs/>
        </w:rPr>
        <w:t>Composição do Gás Medicinal</w:t>
      </w:r>
      <w:r w:rsidR="002E614E" w:rsidRPr="00E6573E">
        <w:rPr>
          <w:rFonts w:ascii="LindeDaxOffice Medium" w:hAnsi="LindeDaxOffice Medium"/>
          <w:b/>
          <w:bCs/>
        </w:rPr>
        <w:t>:</w:t>
      </w:r>
      <w:r w:rsidR="002E614E" w:rsidRPr="006941CF">
        <w:rPr>
          <w:rFonts w:ascii="LindeDaxOffice Medium" w:hAnsi="LindeDaxOffice Medium"/>
        </w:rPr>
        <w:t xml:space="preserve"> </w:t>
      </w:r>
      <w:r w:rsidR="00F464B1" w:rsidRPr="006941CF">
        <w:rPr>
          <w:rFonts w:ascii="LindeDaxOffice Medium" w:hAnsi="LindeDaxOffice Medium"/>
        </w:rPr>
        <w:t>Nitrogênio</w:t>
      </w:r>
      <w:r w:rsidR="002E614E" w:rsidRPr="006941CF">
        <w:rPr>
          <w:rFonts w:ascii="LindeDaxOffice Medium" w:hAnsi="LindeDaxOffice Medium"/>
        </w:rPr>
        <w:t xml:space="preserve"> </w:t>
      </w:r>
      <w:r w:rsidR="004F54F5" w:rsidRPr="006941CF">
        <w:rPr>
          <w:rFonts w:ascii="LindeDaxOffice Medium" w:hAnsi="LindeDaxOffice Medium"/>
        </w:rPr>
        <w:t>99,5</w:t>
      </w:r>
      <w:r w:rsidR="002E614E" w:rsidRPr="006941CF">
        <w:rPr>
          <w:rFonts w:ascii="LindeDaxOffice Medium" w:hAnsi="LindeDaxOffice Medium"/>
        </w:rPr>
        <w:t xml:space="preserve">%. Não há excipientes. O </w:t>
      </w:r>
      <w:r w:rsidR="00F464B1" w:rsidRPr="006941CF">
        <w:rPr>
          <w:rFonts w:ascii="LindeDaxOffice Medium" w:hAnsi="LindeDaxOffice Medium"/>
        </w:rPr>
        <w:t>nitrogênio</w:t>
      </w:r>
      <w:r w:rsidR="002E614E" w:rsidRPr="006941CF">
        <w:rPr>
          <w:rFonts w:ascii="LindeDaxOffice Medium" w:hAnsi="LindeDaxOffice Medium"/>
        </w:rPr>
        <w:t xml:space="preserve"> criogênico é incolor, inodoro e sem sabor.</w:t>
      </w:r>
    </w:p>
    <w:p w14:paraId="1CDCC8D8" w14:textId="77777777" w:rsidR="004451BD" w:rsidRPr="001954F7" w:rsidRDefault="004451BD" w:rsidP="004451BD">
      <w:pPr>
        <w:jc w:val="both"/>
        <w:rPr>
          <w:rFonts w:ascii="LindeDaxOffice Medium" w:hAnsi="LindeDaxOffice Medium"/>
          <w:i/>
          <w:iCs/>
          <w:color w:val="0000FF"/>
          <w:sz w:val="20"/>
          <w:szCs w:val="20"/>
        </w:rPr>
      </w:pPr>
      <w:r>
        <w:rPr>
          <w:rFonts w:ascii="LindeDaxOffice Medium" w:hAnsi="LindeDaxOffice Medium"/>
          <w:b/>
          <w:bCs/>
          <w:i/>
          <w:iCs/>
          <w:color w:val="0000FF"/>
          <w:sz w:val="20"/>
          <w:szCs w:val="20"/>
        </w:rPr>
        <w:t xml:space="preserve">Quantidade, </w:t>
      </w:r>
      <w:r w:rsidRPr="005E088E">
        <w:rPr>
          <w:rFonts w:ascii="LindeDaxOffice Medium" w:hAnsi="LindeDaxOffice Medium"/>
          <w:b/>
          <w:bCs/>
          <w:i/>
          <w:iCs/>
          <w:color w:val="0000FF"/>
          <w:sz w:val="20"/>
          <w:szCs w:val="20"/>
        </w:rPr>
        <w:t>Número de Lote</w:t>
      </w:r>
      <w:r>
        <w:rPr>
          <w:rFonts w:ascii="LindeDaxOffice Medium" w:hAnsi="LindeDaxOffice Medium"/>
          <w:b/>
          <w:bCs/>
          <w:i/>
          <w:iCs/>
          <w:color w:val="0000FF"/>
          <w:sz w:val="20"/>
          <w:szCs w:val="20"/>
        </w:rPr>
        <w:t>,</w:t>
      </w:r>
      <w:r w:rsidRPr="005E088E">
        <w:rPr>
          <w:rFonts w:ascii="LindeDaxOffice Medium" w:hAnsi="LindeDaxOffice Medium"/>
          <w:b/>
          <w:bCs/>
          <w:i/>
          <w:iCs/>
          <w:color w:val="0000FF"/>
          <w:sz w:val="20"/>
          <w:szCs w:val="20"/>
        </w:rPr>
        <w:t xml:space="preserve"> Data de Fabricação</w:t>
      </w:r>
      <w:r>
        <w:rPr>
          <w:rFonts w:ascii="LindeDaxOffice Medium" w:hAnsi="LindeDaxOffice Medium"/>
          <w:b/>
          <w:bCs/>
          <w:i/>
          <w:iCs/>
          <w:color w:val="0000FF"/>
          <w:sz w:val="20"/>
          <w:szCs w:val="20"/>
        </w:rPr>
        <w:t xml:space="preserve"> e Prazo de Validade</w:t>
      </w:r>
      <w:r w:rsidRPr="005E088E">
        <w:rPr>
          <w:rFonts w:ascii="LindeDaxOffice Medium" w:hAnsi="LindeDaxOffice Medium"/>
          <w:b/>
          <w:bCs/>
          <w:i/>
          <w:iCs/>
          <w:color w:val="0000FF"/>
          <w:sz w:val="20"/>
          <w:szCs w:val="20"/>
        </w:rPr>
        <w:t>:</w:t>
      </w:r>
      <w:r w:rsidRPr="001954F7">
        <w:rPr>
          <w:rFonts w:ascii="LindeDaxOffice Medium" w:hAnsi="LindeDaxOffice Medium"/>
          <w:i/>
          <w:iCs/>
          <w:color w:val="0000FF"/>
          <w:sz w:val="20"/>
          <w:szCs w:val="20"/>
        </w:rPr>
        <w:t xml:space="preserve"> Consultar </w:t>
      </w:r>
      <w:r>
        <w:rPr>
          <w:rFonts w:ascii="LindeDaxOffice Medium" w:hAnsi="LindeDaxOffice Medium"/>
          <w:i/>
          <w:iCs/>
          <w:color w:val="0000FF"/>
          <w:sz w:val="20"/>
          <w:szCs w:val="20"/>
        </w:rPr>
        <w:t xml:space="preserve">frente do </w:t>
      </w:r>
      <w:r w:rsidRPr="001954F7">
        <w:rPr>
          <w:rFonts w:ascii="LindeDaxOffice Medium" w:hAnsi="LindeDaxOffice Medium"/>
          <w:i/>
          <w:iCs/>
          <w:color w:val="0000FF"/>
          <w:sz w:val="20"/>
          <w:szCs w:val="20"/>
        </w:rPr>
        <w:t>certificado de qualidade.</w:t>
      </w:r>
    </w:p>
    <w:p w14:paraId="4EB3C5E2" w14:textId="77777777" w:rsidR="007952FE" w:rsidRPr="006941CF" w:rsidRDefault="007952FE" w:rsidP="007952FE">
      <w:pPr>
        <w:jc w:val="both"/>
        <w:rPr>
          <w:rFonts w:ascii="LindeDaxOffice Medium" w:hAnsi="LindeDaxOffice Medium"/>
        </w:rPr>
      </w:pPr>
      <w:r w:rsidRPr="00E6573E">
        <w:rPr>
          <w:rFonts w:ascii="LindeDaxOffice Medium" w:hAnsi="LindeDaxOffice Medium"/>
          <w:b/>
          <w:bCs/>
        </w:rPr>
        <w:t>Via de Administração:</w:t>
      </w:r>
      <w:r w:rsidRPr="006941CF">
        <w:rPr>
          <w:rFonts w:ascii="LindeDaxOffice Medium" w:hAnsi="LindeDaxOffice Medium"/>
        </w:rPr>
        <w:t xml:space="preserve"> Não pode ser administrado em sua forma gasosa como gás único, por via inalatória ou outras vias de inalação direta, sob risco de asfixia. Outras aplicações somente sob orientação de pessoas habilitadas e treinadas.</w:t>
      </w:r>
    </w:p>
    <w:p w14:paraId="0E8AEC5F" w14:textId="77777777" w:rsidR="00670B8E" w:rsidRPr="006941CF" w:rsidRDefault="00670B8E" w:rsidP="00670B8E">
      <w:pPr>
        <w:jc w:val="both"/>
        <w:rPr>
          <w:rFonts w:ascii="LindeDaxOffice Medium" w:hAnsi="LindeDaxOffice Medium"/>
        </w:rPr>
      </w:pPr>
      <w:r w:rsidRPr="00E6573E">
        <w:rPr>
          <w:rFonts w:ascii="LindeDaxOffice Medium" w:hAnsi="LindeDaxOffice Medium"/>
          <w:b/>
          <w:bCs/>
        </w:rPr>
        <w:t>Indicações:</w:t>
      </w:r>
      <w:r w:rsidRPr="006941CF">
        <w:rPr>
          <w:rFonts w:ascii="LindeDaxOffice Medium" w:hAnsi="LindeDaxOffice Medium"/>
        </w:rPr>
        <w:t xml:space="preserve"> Como componente em misturas de gases para terapia respiratória.</w:t>
      </w:r>
    </w:p>
    <w:p w14:paraId="4A8D37A6" w14:textId="77777777" w:rsidR="00670B8E" w:rsidRPr="006941CF" w:rsidRDefault="00670B8E" w:rsidP="00670B8E">
      <w:pPr>
        <w:jc w:val="both"/>
        <w:rPr>
          <w:rFonts w:ascii="LindeDaxOffice Medium" w:hAnsi="LindeDaxOffice Medium"/>
        </w:rPr>
      </w:pPr>
      <w:r w:rsidRPr="00E6573E">
        <w:rPr>
          <w:rFonts w:ascii="LindeDaxOffice Medium" w:hAnsi="LindeDaxOffice Medium"/>
          <w:b/>
          <w:bCs/>
        </w:rPr>
        <w:t>Contraindicações:</w:t>
      </w:r>
      <w:r w:rsidRPr="006941CF">
        <w:rPr>
          <w:rFonts w:ascii="LindeDaxOffice Medium" w:hAnsi="LindeDaxOffice Medium"/>
        </w:rPr>
        <w:t xml:space="preserve"> Não há contraindicações conhecidas.</w:t>
      </w:r>
    </w:p>
    <w:p w14:paraId="57AA9FDE" w14:textId="77777777" w:rsidR="00B54D64" w:rsidRPr="006941CF" w:rsidRDefault="00B54D64" w:rsidP="00B54D64">
      <w:pPr>
        <w:jc w:val="both"/>
        <w:rPr>
          <w:rFonts w:ascii="LindeDaxOffice Medium" w:hAnsi="LindeDaxOffice Medium"/>
        </w:rPr>
      </w:pPr>
      <w:r w:rsidRPr="00E6573E">
        <w:rPr>
          <w:rFonts w:ascii="LindeDaxOffice Medium" w:hAnsi="LindeDaxOffice Medium"/>
          <w:b/>
          <w:bCs/>
        </w:rPr>
        <w:t>Precauções:</w:t>
      </w:r>
      <w:r w:rsidRPr="006941CF">
        <w:rPr>
          <w:rFonts w:ascii="LindeDaxOffice Medium" w:hAnsi="LindeDaxOffice Medium"/>
        </w:rPr>
        <w:t xml:space="preserve"> PERIGO! O vazamento do gás nitrogênio em ambientes mal ventilados pode deslocar o oxigênio e ocasionar tontura, sonolência, narcose, asfixia rápida e morte por falta de oxigênio. O produto está, em condições normais, confinado em recipientes criogênicos e tubulações metálicas fechadas. Nunca encoste qualquer parte do corpo em tubos ou válvulas que contenham nitrogênio líquido, sob risco de queimaduras e ferimentos graves por congelamento. Não bata no recipiente. Use luvas isolantes para frio e equipamento de proteção para os olhos e rosto. Use um dispositivo antirrefluxo na tubulação. Evite derramamentos. PRIMEIROS SOCORROS: Em caso de contato com a pele, não esfregue a área afetada. Procure atendimento médico imediatamente. Em caso de inalação, leve a pessoa para o ar fresco. Se a respiração não for suficiente, aplique ventilação assistida. Se a respiração ficar difícil, administre oxigênio. Procure atendimento médico imediatamente. Para maiores informações e detalhes, contate o fabricante.</w:t>
      </w:r>
    </w:p>
    <w:p w14:paraId="15A33BDB" w14:textId="77777777" w:rsidR="007F119C" w:rsidRPr="006941CF" w:rsidRDefault="007F119C" w:rsidP="007F119C">
      <w:pPr>
        <w:jc w:val="both"/>
        <w:rPr>
          <w:rFonts w:ascii="LindeDaxOffice Medium" w:hAnsi="LindeDaxOffice Medium"/>
        </w:rPr>
      </w:pPr>
      <w:r w:rsidRPr="00E6573E">
        <w:rPr>
          <w:rFonts w:ascii="LindeDaxOffice Medium" w:hAnsi="LindeDaxOffice Medium"/>
          <w:b/>
          <w:bCs/>
        </w:rPr>
        <w:t>Reações Adversas:</w:t>
      </w:r>
      <w:r w:rsidRPr="006941CF">
        <w:rPr>
          <w:rFonts w:ascii="LindeDaxOffice Medium" w:hAnsi="LindeDaxOffice Medium"/>
        </w:rPr>
        <w:t xml:space="preserve"> Não há relatos de reações adversas.</w:t>
      </w:r>
    </w:p>
    <w:p w14:paraId="2FFE7EE6" w14:textId="77777777" w:rsidR="007F119C" w:rsidRPr="006941CF" w:rsidRDefault="007F119C" w:rsidP="007F119C">
      <w:pPr>
        <w:jc w:val="both"/>
        <w:rPr>
          <w:rFonts w:ascii="LindeDaxOffice Medium" w:hAnsi="LindeDaxOffice Medium"/>
        </w:rPr>
      </w:pPr>
      <w:r w:rsidRPr="00E6573E">
        <w:rPr>
          <w:rFonts w:ascii="LindeDaxOffice Medium" w:hAnsi="LindeDaxOffice Medium"/>
          <w:b/>
          <w:bCs/>
        </w:rPr>
        <w:t>Interações Medicamentosas:</w:t>
      </w:r>
      <w:r w:rsidRPr="006941CF">
        <w:rPr>
          <w:rFonts w:ascii="LindeDaxOffice Medium" w:hAnsi="LindeDaxOffice Medium"/>
        </w:rPr>
        <w:t xml:space="preserve"> Não há interações medicamentosas conhecidas.</w:t>
      </w:r>
    </w:p>
    <w:p w14:paraId="65C9A37C" w14:textId="77777777" w:rsidR="005556AD" w:rsidRPr="006941CF" w:rsidRDefault="005556AD" w:rsidP="005556AD">
      <w:pPr>
        <w:jc w:val="both"/>
        <w:rPr>
          <w:rFonts w:ascii="LindeDaxOffice Medium" w:hAnsi="LindeDaxOffice Medium"/>
        </w:rPr>
      </w:pPr>
      <w:r w:rsidRPr="00E6573E">
        <w:rPr>
          <w:rFonts w:ascii="LindeDaxOffice Medium" w:hAnsi="LindeDaxOffice Medium"/>
          <w:b/>
          <w:bCs/>
        </w:rPr>
        <w:t>Linha de Produção:</w:t>
      </w:r>
      <w:r w:rsidRPr="006941CF">
        <w:rPr>
          <w:rFonts w:ascii="LindeDaxOffice Medium" w:hAnsi="LindeDaxOffice Medium"/>
        </w:rPr>
        <w:t xml:space="preserve"> Líquido criogênico medicinal.</w:t>
      </w:r>
    </w:p>
    <w:p w14:paraId="3A136CDA" w14:textId="0EA2B12C" w:rsidR="002E614E" w:rsidRPr="006941CF" w:rsidRDefault="002E614E" w:rsidP="00BE70E6">
      <w:pPr>
        <w:jc w:val="both"/>
        <w:rPr>
          <w:rFonts w:ascii="LindeDaxOffice Medium" w:hAnsi="LindeDaxOffice Medium"/>
        </w:rPr>
      </w:pPr>
      <w:r w:rsidRPr="00E6573E">
        <w:rPr>
          <w:rFonts w:ascii="LindeDaxOffice Medium" w:hAnsi="LindeDaxOffice Medium"/>
          <w:b/>
          <w:bCs/>
        </w:rPr>
        <w:t>Posologia e Administração:</w:t>
      </w:r>
      <w:r w:rsidRPr="006941CF">
        <w:rPr>
          <w:rFonts w:ascii="LindeDaxOffice Medium" w:hAnsi="LindeDaxOffice Medium"/>
        </w:rPr>
        <w:t xml:space="preserve"> </w:t>
      </w:r>
      <w:r w:rsidR="00F464B1" w:rsidRPr="006941CF">
        <w:rPr>
          <w:rFonts w:ascii="LindeDaxOffice Medium" w:hAnsi="LindeDaxOffice Medium"/>
        </w:rPr>
        <w:t xml:space="preserve">Como </w:t>
      </w:r>
      <w:r w:rsidR="004D3C08" w:rsidRPr="006941CF">
        <w:rPr>
          <w:rFonts w:ascii="LindeDaxOffice Medium" w:hAnsi="LindeDaxOffice Medium"/>
        </w:rPr>
        <w:t>c</w:t>
      </w:r>
      <w:r w:rsidR="00F464B1" w:rsidRPr="006941CF">
        <w:rPr>
          <w:rFonts w:ascii="LindeDaxOffice Medium" w:hAnsi="LindeDaxOffice Medium"/>
        </w:rPr>
        <w:t>omponente em misturas de gases para terapia respiratória. A posologia e administração será conforme a mistura final e deve ser verificada nas informações da mistura específica.</w:t>
      </w:r>
      <w:r w:rsidR="00D579CD" w:rsidRPr="006941CF">
        <w:rPr>
          <w:rFonts w:ascii="LindeDaxOffice Medium" w:hAnsi="LindeDaxOffice Medium"/>
        </w:rPr>
        <w:t xml:space="preserve"> A concentração, o fluxo e o tempo de administração dos gases medicinais devem ser determinados pelo profissional de saúde habilitado de acordo com o procedimento realizado e o estado de saúde do paciente. Na administração dos gases medicinais por inalação deve-se assegurar quantidade adequada de oxigênio na mistura de acordo com o procedimento realizado e o estado de saúde do paciente, a fim de evitar asfixia. Para uso domiciliar, o paciente deve receber treinamento completo sobre o uso do gás medicinal e equipamentos.</w:t>
      </w:r>
    </w:p>
    <w:p w14:paraId="4A54BA26" w14:textId="3E7AA689" w:rsidR="00DD0EDC" w:rsidRPr="006941CF" w:rsidRDefault="00306017" w:rsidP="00BE70E6">
      <w:pPr>
        <w:jc w:val="both"/>
        <w:rPr>
          <w:rFonts w:ascii="LindeDaxOffice Medium" w:hAnsi="LindeDaxOffice Medium"/>
        </w:rPr>
      </w:pPr>
      <w:r w:rsidRPr="00E6573E">
        <w:rPr>
          <w:rFonts w:ascii="LindeDaxOffice Medium" w:hAnsi="LindeDaxOffice Medium"/>
          <w:b/>
          <w:bCs/>
        </w:rPr>
        <w:t>Manuseio e</w:t>
      </w:r>
      <w:r w:rsidR="002E614E" w:rsidRPr="00E6573E">
        <w:rPr>
          <w:rFonts w:ascii="LindeDaxOffice Medium" w:hAnsi="LindeDaxOffice Medium"/>
          <w:b/>
          <w:bCs/>
        </w:rPr>
        <w:t xml:space="preserve"> Armazenamento</w:t>
      </w:r>
      <w:r w:rsidR="00DD0EDC" w:rsidRPr="00E6573E">
        <w:rPr>
          <w:rFonts w:ascii="LindeDaxOffice Medium" w:hAnsi="LindeDaxOffice Medium"/>
          <w:b/>
          <w:bCs/>
        </w:rPr>
        <w:t>:</w:t>
      </w:r>
      <w:r w:rsidR="004677F7" w:rsidRPr="006941CF">
        <w:rPr>
          <w:rFonts w:ascii="LindeDaxOffice Medium" w:hAnsi="LindeDaxOffice Medium"/>
        </w:rPr>
        <w:t xml:space="preserve"> </w:t>
      </w:r>
      <w:r w:rsidR="00EC19C8" w:rsidRPr="006941CF">
        <w:rPr>
          <w:rFonts w:ascii="LindeDaxOffice Medium" w:hAnsi="LindeDaxOffice Medium"/>
        </w:rPr>
        <w:t>Gás não oxidante, liquefeito e altamente refrigerado em recipientes criogênicos especiais, móveis ou estacionários, equipados com dispositivos de alívio e controle de pressão. A armazenagem só pode ser realizada em ambientes ventilados, nunca confinados. Mantenha os recipientes criogênicos longe de materiais inflamáveis a no mínimo 7 metros de distância ou use uma barreira de material não combustível. Para maiores informações ou detalhes, consulte o fabricante.</w:t>
      </w:r>
    </w:p>
    <w:p w14:paraId="784338D2" w14:textId="77777777" w:rsidR="005C0892" w:rsidRDefault="00E4280D" w:rsidP="00E4280D">
      <w:pPr>
        <w:spacing w:after="0" w:line="240" w:lineRule="auto"/>
        <w:jc w:val="both"/>
        <w:rPr>
          <w:rFonts w:ascii="LindeDaxOffice Medium" w:hAnsi="LindeDaxOffice Medium"/>
          <w:sz w:val="20"/>
          <w:szCs w:val="20"/>
        </w:rPr>
      </w:pPr>
      <w:r w:rsidRPr="005B786F">
        <w:rPr>
          <w:rFonts w:ascii="LindeDaxOffice Medium" w:hAnsi="LindeDaxOffice Medium"/>
          <w:sz w:val="20"/>
          <w:szCs w:val="20"/>
        </w:rPr>
        <w:t>Informe ao seu médico ou cirurgião-dentista o aparecimento de reações indesejáveis pelo uso do gás medicinal.</w:t>
      </w:r>
      <w:r>
        <w:rPr>
          <w:rFonts w:ascii="LindeDaxOffice Medium" w:hAnsi="LindeDaxOffice Medium"/>
          <w:sz w:val="20"/>
          <w:szCs w:val="20"/>
        </w:rPr>
        <w:t xml:space="preserve"> </w:t>
      </w:r>
      <w:r w:rsidRPr="005B786F">
        <w:rPr>
          <w:rFonts w:ascii="LindeDaxOffice Medium" w:hAnsi="LindeDaxOffice Medium"/>
          <w:sz w:val="20"/>
          <w:szCs w:val="20"/>
        </w:rPr>
        <w:t>Informe também à empresa através do seu serviço de atendimento.</w:t>
      </w:r>
    </w:p>
    <w:p w14:paraId="675BF8EF" w14:textId="77777777" w:rsidR="005C0892" w:rsidRDefault="005C0892" w:rsidP="00E4280D">
      <w:pPr>
        <w:spacing w:after="0" w:line="240" w:lineRule="auto"/>
        <w:jc w:val="both"/>
        <w:rPr>
          <w:rFonts w:ascii="LindeDaxOffice Medium" w:hAnsi="LindeDaxOffice Medium"/>
          <w:sz w:val="20"/>
          <w:szCs w:val="20"/>
        </w:rPr>
      </w:pPr>
    </w:p>
    <w:p w14:paraId="57260816" w14:textId="77777777" w:rsidR="005C0892" w:rsidRDefault="00E4280D" w:rsidP="00E4280D">
      <w:pPr>
        <w:spacing w:after="0" w:line="240" w:lineRule="auto"/>
        <w:jc w:val="both"/>
        <w:rPr>
          <w:rFonts w:ascii="LindeDaxOffice Medium" w:hAnsi="LindeDaxOffice Medium"/>
          <w:sz w:val="20"/>
          <w:szCs w:val="20"/>
        </w:rPr>
      </w:pPr>
      <w:r w:rsidRPr="005B786F">
        <w:rPr>
          <w:rFonts w:ascii="LindeDaxOffice Medium" w:hAnsi="LindeDaxOffice Medium"/>
          <w:sz w:val="20"/>
          <w:szCs w:val="20"/>
        </w:rPr>
        <w:t>Em caso de dúvidas sobre o uso deste gás medicinal, procure orientação de um profissional de saúde.</w:t>
      </w:r>
    </w:p>
    <w:p w14:paraId="4EBF70E1" w14:textId="77777777" w:rsidR="005C0892" w:rsidRDefault="005C0892" w:rsidP="00E4280D">
      <w:pPr>
        <w:spacing w:after="0" w:line="240" w:lineRule="auto"/>
        <w:jc w:val="both"/>
        <w:rPr>
          <w:rFonts w:ascii="LindeDaxOffice Medium" w:hAnsi="LindeDaxOffice Medium"/>
          <w:sz w:val="20"/>
          <w:szCs w:val="20"/>
        </w:rPr>
      </w:pPr>
    </w:p>
    <w:p w14:paraId="79B13CD0" w14:textId="691110D3" w:rsidR="00E4280D" w:rsidRDefault="00E4280D" w:rsidP="00E4280D">
      <w:pPr>
        <w:spacing w:after="0" w:line="240" w:lineRule="auto"/>
        <w:jc w:val="both"/>
        <w:rPr>
          <w:rFonts w:ascii="LindeDaxOffice Medium" w:hAnsi="LindeDaxOffice Medium"/>
          <w:sz w:val="20"/>
          <w:szCs w:val="20"/>
        </w:rPr>
      </w:pPr>
      <w:r w:rsidRPr="005B786F">
        <w:rPr>
          <w:rFonts w:ascii="LindeDaxOffice Medium" w:hAnsi="LindeDaxOffice Medium"/>
          <w:sz w:val="20"/>
          <w:szCs w:val="20"/>
        </w:rPr>
        <w:t>Uso sob Prescrição Médica. Produto Exclusivamente de Uso Medicinal.</w:t>
      </w:r>
    </w:p>
    <w:p w14:paraId="1CCC70E0" w14:textId="77777777" w:rsidR="005C0892" w:rsidRPr="005B786F" w:rsidRDefault="005C0892" w:rsidP="00E4280D">
      <w:pPr>
        <w:spacing w:after="0" w:line="240" w:lineRule="auto"/>
        <w:jc w:val="both"/>
        <w:rPr>
          <w:rFonts w:ascii="LindeDaxOffice Medium" w:hAnsi="LindeDaxOffice Medium"/>
          <w:sz w:val="20"/>
          <w:szCs w:val="20"/>
        </w:rPr>
      </w:pPr>
    </w:p>
    <w:p w14:paraId="1F76F2F9" w14:textId="77777777" w:rsidR="00E4280D" w:rsidRDefault="00E4280D" w:rsidP="00E4280D">
      <w:pPr>
        <w:spacing w:after="0" w:line="240" w:lineRule="auto"/>
        <w:jc w:val="both"/>
        <w:rPr>
          <w:rFonts w:ascii="LindeDaxOffice Medium" w:hAnsi="LindeDaxOffice Medium"/>
          <w:sz w:val="20"/>
          <w:szCs w:val="20"/>
        </w:rPr>
      </w:pPr>
      <w:r w:rsidRPr="005B786F">
        <w:rPr>
          <w:rFonts w:ascii="LindeDaxOffice Medium" w:hAnsi="LindeDaxOffice Medium"/>
          <w:sz w:val="20"/>
          <w:szCs w:val="20"/>
        </w:rPr>
        <w:t>TODO MEDICAMENTO DEVE SER MANTIDO FORA DO ALCANCE DAS CRIANÇAS.</w:t>
      </w:r>
    </w:p>
    <w:p w14:paraId="740EA373" w14:textId="77777777" w:rsidR="005C0892" w:rsidRPr="005B786F" w:rsidRDefault="005C0892" w:rsidP="00E4280D">
      <w:pPr>
        <w:spacing w:after="0" w:line="240" w:lineRule="auto"/>
        <w:jc w:val="both"/>
        <w:rPr>
          <w:rFonts w:ascii="LindeDaxOffice Medium" w:hAnsi="LindeDaxOffice Medium"/>
          <w:sz w:val="20"/>
          <w:szCs w:val="20"/>
        </w:rPr>
      </w:pPr>
    </w:p>
    <w:p w14:paraId="3153F43A" w14:textId="77777777" w:rsidR="00E4280D" w:rsidRDefault="00E4280D" w:rsidP="00E4280D">
      <w:pPr>
        <w:spacing w:after="0" w:line="240" w:lineRule="auto"/>
        <w:jc w:val="both"/>
        <w:rPr>
          <w:rFonts w:ascii="LindeDaxOffice Medium" w:hAnsi="LindeDaxOffice Medium"/>
          <w:sz w:val="20"/>
          <w:szCs w:val="20"/>
        </w:rPr>
      </w:pPr>
      <w:r w:rsidRPr="005B786F">
        <w:rPr>
          <w:rFonts w:ascii="LindeDaxOffice Medium" w:hAnsi="LindeDaxOffice Medium"/>
          <w:sz w:val="20"/>
          <w:szCs w:val="20"/>
        </w:rPr>
        <w:t>Gás medicinal notificado conforme RDC nº 870, de 17 de maio de 2024.</w:t>
      </w:r>
    </w:p>
    <w:p w14:paraId="7D8E0FE0" w14:textId="77777777" w:rsidR="005C0892" w:rsidRDefault="005C0892" w:rsidP="00E4280D">
      <w:pPr>
        <w:spacing w:after="0" w:line="240" w:lineRule="auto"/>
        <w:jc w:val="both"/>
        <w:rPr>
          <w:rFonts w:ascii="LindeDaxOffice Medium" w:hAnsi="LindeDaxOffice Medium"/>
          <w:sz w:val="20"/>
          <w:szCs w:val="20"/>
        </w:rPr>
      </w:pPr>
    </w:p>
    <w:p w14:paraId="7CCD30A1" w14:textId="77777777" w:rsidR="00E4280D" w:rsidRPr="005B786F" w:rsidRDefault="00E4280D" w:rsidP="00E4280D">
      <w:pPr>
        <w:spacing w:after="0" w:line="240" w:lineRule="auto"/>
        <w:jc w:val="both"/>
        <w:rPr>
          <w:rFonts w:ascii="LindeDaxOffice Medium" w:hAnsi="LindeDaxOffice Medium"/>
          <w:sz w:val="20"/>
          <w:szCs w:val="20"/>
        </w:rPr>
      </w:pPr>
      <w:r w:rsidRPr="005F125C">
        <w:rPr>
          <w:rFonts w:ascii="LindeDaxOffice Medium" w:hAnsi="LindeDaxOffice Medium"/>
          <w:i/>
          <w:iCs/>
          <w:color w:val="0000FF"/>
          <w:sz w:val="20"/>
          <w:szCs w:val="20"/>
        </w:rPr>
        <w:t>Notificado</w:t>
      </w:r>
      <w:r>
        <w:rPr>
          <w:rFonts w:ascii="LindeDaxOffice Medium" w:hAnsi="LindeDaxOffice Medium"/>
          <w:sz w:val="20"/>
          <w:szCs w:val="20"/>
        </w:rPr>
        <w:t xml:space="preserve"> por</w:t>
      </w:r>
      <w:r w:rsidRPr="005B786F">
        <w:rPr>
          <w:rFonts w:ascii="LindeDaxOffice Medium" w:hAnsi="LindeDaxOffice Medium"/>
          <w:sz w:val="20"/>
          <w:szCs w:val="20"/>
        </w:rPr>
        <w:t xml:space="preserve">: </w:t>
      </w:r>
      <w:r w:rsidRPr="001954F7">
        <w:rPr>
          <w:rFonts w:ascii="LindeDaxOffice Medium" w:hAnsi="LindeDaxOffice Medium"/>
          <w:i/>
          <w:iCs/>
          <w:color w:val="0000FF"/>
          <w:sz w:val="20"/>
          <w:szCs w:val="20"/>
        </w:rPr>
        <w:t xml:space="preserve">Consultar </w:t>
      </w:r>
      <w:r>
        <w:rPr>
          <w:rFonts w:ascii="LindeDaxOffice Medium" w:hAnsi="LindeDaxOffice Medium"/>
          <w:i/>
          <w:iCs/>
          <w:color w:val="0000FF"/>
          <w:sz w:val="20"/>
          <w:szCs w:val="20"/>
        </w:rPr>
        <w:t xml:space="preserve">frente do </w:t>
      </w:r>
      <w:r w:rsidRPr="001954F7">
        <w:rPr>
          <w:rFonts w:ascii="LindeDaxOffice Medium" w:hAnsi="LindeDaxOffice Medium"/>
          <w:i/>
          <w:iCs/>
          <w:color w:val="0000FF"/>
          <w:sz w:val="20"/>
          <w:szCs w:val="20"/>
        </w:rPr>
        <w:t>certificado de qualidade</w:t>
      </w:r>
      <w:r>
        <w:rPr>
          <w:rFonts w:ascii="LindeDaxOffice Medium" w:hAnsi="LindeDaxOffice Medium"/>
          <w:sz w:val="20"/>
          <w:szCs w:val="20"/>
        </w:rPr>
        <w:t xml:space="preserve">. </w:t>
      </w:r>
      <w:r w:rsidRPr="005B786F">
        <w:rPr>
          <w:rFonts w:ascii="LindeDaxOffice Medium" w:hAnsi="LindeDaxOffice Medium"/>
          <w:sz w:val="20"/>
          <w:szCs w:val="20"/>
        </w:rPr>
        <w:t>Envasado por</w:t>
      </w:r>
      <w:r>
        <w:rPr>
          <w:rFonts w:ascii="LindeDaxOffice Medium" w:hAnsi="LindeDaxOffice Medium"/>
          <w:sz w:val="20"/>
          <w:szCs w:val="20"/>
        </w:rPr>
        <w:t xml:space="preserve">: </w:t>
      </w:r>
      <w:r w:rsidRPr="005F125C">
        <w:rPr>
          <w:rFonts w:ascii="LindeDaxOffice Medium" w:hAnsi="LindeDaxOffice Medium"/>
          <w:i/>
          <w:iCs/>
          <w:color w:val="0000FF"/>
          <w:sz w:val="20"/>
          <w:szCs w:val="20"/>
        </w:rPr>
        <w:t>Consultar</w:t>
      </w:r>
      <w:r w:rsidRPr="005B786F">
        <w:rPr>
          <w:rFonts w:ascii="LindeDaxOffice Medium" w:hAnsi="LindeDaxOffice Medium"/>
          <w:sz w:val="20"/>
          <w:szCs w:val="20"/>
        </w:rPr>
        <w:t xml:space="preserve"> campo “Dados White Martins”.</w:t>
      </w:r>
    </w:p>
    <w:p w14:paraId="3A4414CD" w14:textId="77777777" w:rsidR="006C2619" w:rsidRPr="006941CF" w:rsidRDefault="006C2619" w:rsidP="006C2619">
      <w:pPr>
        <w:autoSpaceDE w:val="0"/>
        <w:autoSpaceDN w:val="0"/>
        <w:adjustRightInd w:val="0"/>
        <w:jc w:val="both"/>
        <w:rPr>
          <w:rFonts w:ascii="LindeDaxOffice Medium" w:hAnsi="LindeDaxOffice Medium"/>
          <w:b/>
          <w:caps/>
          <w:sz w:val="24"/>
        </w:rPr>
      </w:pPr>
      <w:r w:rsidRPr="006941CF">
        <w:rPr>
          <w:rFonts w:ascii="LindeDaxOffice Medium" w:hAnsi="LindeDaxOffice Medium"/>
          <w:b/>
          <w:caps/>
          <w:sz w:val="24"/>
        </w:rPr>
        <w:lastRenderedPageBreak/>
        <w:t>Esta página não deve ser impressa, é apenas para controle do histórico de versões.</w:t>
      </w:r>
    </w:p>
    <w:p w14:paraId="60DEBF3B" w14:textId="77777777" w:rsidR="006C2619" w:rsidRPr="006941CF" w:rsidRDefault="006C2619" w:rsidP="006C2619">
      <w:pPr>
        <w:autoSpaceDE w:val="0"/>
        <w:autoSpaceDN w:val="0"/>
        <w:adjustRightInd w:val="0"/>
        <w:jc w:val="both"/>
        <w:rPr>
          <w:rFonts w:ascii="LindeDaxOffice Medium" w:hAnsi="LindeDaxOffice Medium"/>
          <w:b/>
          <w:caps/>
          <w:sz w:val="24"/>
        </w:rPr>
      </w:pPr>
    </w:p>
    <w:p w14:paraId="5C5B3491" w14:textId="77777777" w:rsidR="006C2619" w:rsidRPr="006941CF" w:rsidRDefault="006C2619" w:rsidP="006C2619">
      <w:pPr>
        <w:autoSpaceDE w:val="0"/>
        <w:autoSpaceDN w:val="0"/>
        <w:adjustRightInd w:val="0"/>
        <w:jc w:val="both"/>
        <w:rPr>
          <w:rFonts w:ascii="LindeDaxOffice Medium" w:hAnsi="LindeDaxOffice Medium"/>
          <w:b/>
          <w:caps/>
          <w:sz w:val="24"/>
        </w:rPr>
      </w:pPr>
      <w:r w:rsidRPr="006941CF">
        <w:rPr>
          <w:rFonts w:ascii="LindeDaxOffice Medium" w:hAnsi="LindeDaxOffice Medium"/>
          <w:b/>
          <w:caps/>
          <w:sz w:val="24"/>
        </w:rPr>
        <w:t>Histórico de Versões</w:t>
      </w:r>
    </w:p>
    <w:p w14:paraId="31FC7B5D" w14:textId="77777777" w:rsidR="006C2619" w:rsidRPr="006941CF" w:rsidRDefault="006C2619" w:rsidP="006C2619">
      <w:pPr>
        <w:autoSpaceDE w:val="0"/>
        <w:autoSpaceDN w:val="0"/>
        <w:adjustRightInd w:val="0"/>
        <w:jc w:val="both"/>
        <w:rPr>
          <w:rFonts w:ascii="LindeDaxOffice Medium" w:hAnsi="LindeDaxOffice Medium"/>
          <w:szCs w:val="20"/>
        </w:rPr>
      </w:pPr>
    </w:p>
    <w:tbl>
      <w:tblPr>
        <w:tblW w:w="977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353"/>
        <w:gridCol w:w="6391"/>
      </w:tblGrid>
      <w:tr w:rsidR="006941CF" w:rsidRPr="006941CF" w14:paraId="324FC67D" w14:textId="77777777" w:rsidTr="00340B5D">
        <w:trPr>
          <w:trHeight w:val="256"/>
        </w:trPr>
        <w:tc>
          <w:tcPr>
            <w:tcW w:w="2035" w:type="dxa"/>
            <w:shd w:val="clear" w:color="auto" w:fill="auto"/>
            <w:noWrap/>
            <w:vAlign w:val="bottom"/>
            <w:hideMark/>
          </w:tcPr>
          <w:p w14:paraId="3E156CB6" w14:textId="77777777" w:rsidR="006C2619" w:rsidRPr="006941CF" w:rsidRDefault="006C2619" w:rsidP="005A3BA3">
            <w:pPr>
              <w:jc w:val="center"/>
              <w:rPr>
                <w:rFonts w:ascii="LindeDaxOffice Medium" w:hAnsi="LindeDaxOffice Medium"/>
                <w:b/>
                <w:bCs/>
                <w:szCs w:val="20"/>
              </w:rPr>
            </w:pPr>
            <w:r w:rsidRPr="006941CF">
              <w:rPr>
                <w:rFonts w:ascii="LindeDaxOffice Medium" w:hAnsi="LindeDaxOffice Medium"/>
                <w:b/>
                <w:bCs/>
                <w:szCs w:val="20"/>
              </w:rPr>
              <w:t xml:space="preserve">Revisão </w:t>
            </w:r>
          </w:p>
        </w:tc>
        <w:tc>
          <w:tcPr>
            <w:tcW w:w="1353" w:type="dxa"/>
            <w:shd w:val="clear" w:color="auto" w:fill="auto"/>
            <w:noWrap/>
            <w:vAlign w:val="bottom"/>
            <w:hideMark/>
          </w:tcPr>
          <w:p w14:paraId="56F8585C" w14:textId="77777777" w:rsidR="006C2619" w:rsidRPr="006941CF" w:rsidRDefault="006C2619" w:rsidP="005A3BA3">
            <w:pPr>
              <w:jc w:val="center"/>
              <w:rPr>
                <w:rFonts w:ascii="LindeDaxOffice Medium" w:hAnsi="LindeDaxOffice Medium"/>
                <w:b/>
                <w:bCs/>
                <w:szCs w:val="20"/>
              </w:rPr>
            </w:pPr>
            <w:r w:rsidRPr="006941CF">
              <w:rPr>
                <w:rFonts w:ascii="LindeDaxOffice Medium" w:hAnsi="LindeDaxOffice Medium"/>
                <w:b/>
                <w:bCs/>
                <w:szCs w:val="20"/>
              </w:rPr>
              <w:t>Data</w:t>
            </w:r>
          </w:p>
        </w:tc>
        <w:tc>
          <w:tcPr>
            <w:tcW w:w="6391" w:type="dxa"/>
            <w:shd w:val="clear" w:color="auto" w:fill="auto"/>
            <w:noWrap/>
            <w:vAlign w:val="bottom"/>
            <w:hideMark/>
          </w:tcPr>
          <w:p w14:paraId="10629DE3" w14:textId="77777777" w:rsidR="006C2619" w:rsidRPr="006941CF" w:rsidRDefault="006C2619" w:rsidP="005A3BA3">
            <w:pPr>
              <w:jc w:val="center"/>
              <w:rPr>
                <w:rFonts w:ascii="LindeDaxOffice Medium" w:hAnsi="LindeDaxOffice Medium"/>
                <w:b/>
                <w:bCs/>
                <w:szCs w:val="20"/>
              </w:rPr>
            </w:pPr>
            <w:r w:rsidRPr="006941CF">
              <w:rPr>
                <w:rFonts w:ascii="LindeDaxOffice Medium" w:hAnsi="LindeDaxOffice Medium"/>
                <w:b/>
                <w:bCs/>
                <w:szCs w:val="20"/>
              </w:rPr>
              <w:t>Descrição das Alterações</w:t>
            </w:r>
          </w:p>
        </w:tc>
      </w:tr>
      <w:tr w:rsidR="00263225" w:rsidRPr="006941CF" w14:paraId="5134568C" w14:textId="77777777" w:rsidTr="00340B5D">
        <w:trPr>
          <w:trHeight w:val="758"/>
        </w:trPr>
        <w:tc>
          <w:tcPr>
            <w:tcW w:w="2035" w:type="dxa"/>
            <w:shd w:val="clear" w:color="auto" w:fill="auto"/>
            <w:noWrap/>
            <w:vAlign w:val="center"/>
          </w:tcPr>
          <w:p w14:paraId="3C41FE43" w14:textId="16F6CB1D" w:rsidR="00263225" w:rsidRPr="006941CF" w:rsidRDefault="00263225" w:rsidP="00263225">
            <w:pPr>
              <w:jc w:val="center"/>
              <w:rPr>
                <w:rFonts w:ascii="LindeDaxOffice Medium" w:hAnsi="LindeDaxOffice Medium"/>
                <w:szCs w:val="20"/>
              </w:rPr>
            </w:pPr>
            <w:r>
              <w:rPr>
                <w:rFonts w:ascii="LindeDaxOffice Medium" w:hAnsi="LindeDaxOffice Medium"/>
                <w:color w:val="000000"/>
                <w:szCs w:val="20"/>
              </w:rPr>
              <w:t>03</w:t>
            </w:r>
          </w:p>
        </w:tc>
        <w:tc>
          <w:tcPr>
            <w:tcW w:w="1353" w:type="dxa"/>
            <w:shd w:val="clear" w:color="auto" w:fill="auto"/>
            <w:noWrap/>
            <w:vAlign w:val="center"/>
          </w:tcPr>
          <w:p w14:paraId="4AC420E3" w14:textId="2B7D0D89" w:rsidR="00263225" w:rsidRPr="006941CF" w:rsidRDefault="00263225" w:rsidP="00263225">
            <w:pPr>
              <w:jc w:val="center"/>
              <w:rPr>
                <w:rFonts w:ascii="LindeDaxOffice Medium" w:hAnsi="LindeDaxOffice Medium"/>
                <w:szCs w:val="20"/>
              </w:rPr>
            </w:pPr>
            <w:r>
              <w:rPr>
                <w:rFonts w:ascii="LindeDaxOffice Medium" w:hAnsi="LindeDaxOffice Medium"/>
                <w:color w:val="000000"/>
                <w:szCs w:val="20"/>
              </w:rPr>
              <w:t>12/06/2026</w:t>
            </w:r>
          </w:p>
        </w:tc>
        <w:tc>
          <w:tcPr>
            <w:tcW w:w="6391" w:type="dxa"/>
            <w:shd w:val="clear" w:color="auto" w:fill="auto"/>
            <w:noWrap/>
            <w:vAlign w:val="center"/>
          </w:tcPr>
          <w:p w14:paraId="612E886B" w14:textId="4C6FA587" w:rsidR="00263225" w:rsidRPr="006941CF" w:rsidRDefault="00263225" w:rsidP="00263225">
            <w:pPr>
              <w:spacing w:after="0"/>
              <w:jc w:val="both"/>
              <w:rPr>
                <w:rFonts w:ascii="LindeDaxOffice Medium" w:hAnsi="LindeDaxOffice Medium"/>
                <w:szCs w:val="20"/>
              </w:rPr>
            </w:pPr>
            <w:r>
              <w:rPr>
                <w:rFonts w:ascii="LindeDaxOffice Medium" w:hAnsi="LindeDaxOffice Medium"/>
                <w:color w:val="000000"/>
                <w:szCs w:val="20"/>
              </w:rPr>
              <w:t xml:space="preserve">Inclusão de onde constam as informações: </w:t>
            </w:r>
            <w:r w:rsidRPr="00C83849">
              <w:rPr>
                <w:rFonts w:ascii="LindeDaxOffice Medium" w:hAnsi="LindeDaxOffice Medium"/>
                <w:color w:val="000000"/>
                <w:szCs w:val="20"/>
              </w:rPr>
              <w:t>Quantidade, Número de Lote, Data de Fabricação</w:t>
            </w:r>
            <w:r>
              <w:rPr>
                <w:rFonts w:ascii="LindeDaxOffice Medium" w:hAnsi="LindeDaxOffice Medium"/>
                <w:color w:val="000000"/>
                <w:szCs w:val="20"/>
              </w:rPr>
              <w:t>,</w:t>
            </w:r>
            <w:r w:rsidRPr="00C83849">
              <w:rPr>
                <w:rFonts w:ascii="LindeDaxOffice Medium" w:hAnsi="LindeDaxOffice Medium"/>
                <w:color w:val="000000"/>
                <w:szCs w:val="20"/>
              </w:rPr>
              <w:t xml:space="preserve"> Prazo de Validade</w:t>
            </w:r>
            <w:r>
              <w:rPr>
                <w:rFonts w:ascii="LindeDaxOffice Medium" w:hAnsi="LindeDaxOffice Medium"/>
                <w:color w:val="000000"/>
                <w:szCs w:val="20"/>
              </w:rPr>
              <w:t>, Notificado por e Envasado por. Inclusão do termo “Ficha Técnica” na identificação do formulário. Reorganização na ordem dos itens conforme Anexo I da RDC 870/2024. Não houve alteração do conteúdo das demais informações que continuam conforme</w:t>
            </w:r>
            <w:r w:rsidR="00E61AC0">
              <w:rPr>
                <w:rFonts w:ascii="LindeDaxOffice Medium" w:hAnsi="LindeDaxOffice Medium"/>
                <w:color w:val="000000"/>
                <w:szCs w:val="20"/>
              </w:rPr>
              <w:t xml:space="preserve"> </w:t>
            </w:r>
            <w:r w:rsidR="00E61AC0" w:rsidRPr="006941CF">
              <w:rPr>
                <w:rFonts w:ascii="LindeDaxOffice Medium" w:hAnsi="LindeDaxOffice Medium"/>
                <w:szCs w:val="20"/>
              </w:rPr>
              <w:t xml:space="preserve">CD-35777 </w:t>
            </w:r>
            <w:r w:rsidR="00E61AC0">
              <w:rPr>
                <w:rFonts w:ascii="LindeDaxOffice Medium" w:hAnsi="LindeDaxOffice Medium"/>
                <w:szCs w:val="20"/>
              </w:rPr>
              <w:t>rev</w:t>
            </w:r>
            <w:r w:rsidR="00E61AC0" w:rsidRPr="006941CF">
              <w:rPr>
                <w:rFonts w:ascii="LindeDaxOffice Medium" w:hAnsi="LindeDaxOffice Medium"/>
                <w:szCs w:val="20"/>
              </w:rPr>
              <w:t xml:space="preserve"> 1</w:t>
            </w:r>
            <w:r w:rsidR="00E61AC0">
              <w:rPr>
                <w:rFonts w:ascii="LindeDaxOffice Medium" w:hAnsi="LindeDaxOffice Medium"/>
                <w:szCs w:val="20"/>
              </w:rPr>
              <w:t>.</w:t>
            </w:r>
          </w:p>
        </w:tc>
      </w:tr>
      <w:tr w:rsidR="00263225" w:rsidRPr="006941CF" w14:paraId="5A9A7E4C" w14:textId="77777777" w:rsidTr="00340B5D">
        <w:trPr>
          <w:trHeight w:val="758"/>
        </w:trPr>
        <w:tc>
          <w:tcPr>
            <w:tcW w:w="2035" w:type="dxa"/>
            <w:shd w:val="clear" w:color="auto" w:fill="auto"/>
            <w:noWrap/>
            <w:vAlign w:val="center"/>
          </w:tcPr>
          <w:p w14:paraId="0C3FB23D" w14:textId="3FA0AC36" w:rsidR="00263225" w:rsidRPr="006941CF" w:rsidRDefault="00263225" w:rsidP="00263225">
            <w:pPr>
              <w:jc w:val="center"/>
              <w:rPr>
                <w:rFonts w:ascii="LindeDaxOffice Medium" w:hAnsi="LindeDaxOffice Medium"/>
                <w:szCs w:val="20"/>
              </w:rPr>
            </w:pPr>
            <w:r w:rsidRPr="006941CF">
              <w:rPr>
                <w:rFonts w:ascii="LindeDaxOffice Medium" w:hAnsi="LindeDaxOffice Medium"/>
                <w:szCs w:val="20"/>
              </w:rPr>
              <w:t>02</w:t>
            </w:r>
          </w:p>
        </w:tc>
        <w:tc>
          <w:tcPr>
            <w:tcW w:w="1353" w:type="dxa"/>
            <w:shd w:val="clear" w:color="auto" w:fill="auto"/>
            <w:noWrap/>
            <w:vAlign w:val="center"/>
          </w:tcPr>
          <w:p w14:paraId="02A58623" w14:textId="43DFA009" w:rsidR="00263225" w:rsidRPr="006941CF" w:rsidRDefault="00263225" w:rsidP="00263225">
            <w:pPr>
              <w:jc w:val="center"/>
              <w:rPr>
                <w:rFonts w:ascii="LindeDaxOffice Medium" w:hAnsi="LindeDaxOffice Medium"/>
                <w:szCs w:val="20"/>
              </w:rPr>
            </w:pPr>
            <w:r w:rsidRPr="006941CF">
              <w:rPr>
                <w:rFonts w:ascii="LindeDaxOffice Medium" w:hAnsi="LindeDaxOffice Medium"/>
                <w:szCs w:val="20"/>
              </w:rPr>
              <w:t>05/09/2025</w:t>
            </w:r>
          </w:p>
        </w:tc>
        <w:tc>
          <w:tcPr>
            <w:tcW w:w="6391" w:type="dxa"/>
            <w:shd w:val="clear" w:color="auto" w:fill="auto"/>
            <w:noWrap/>
            <w:vAlign w:val="center"/>
          </w:tcPr>
          <w:p w14:paraId="23179421" w14:textId="20D35516" w:rsidR="00263225" w:rsidRPr="006941CF" w:rsidRDefault="00263225" w:rsidP="00263225">
            <w:pPr>
              <w:spacing w:after="0"/>
              <w:jc w:val="both"/>
              <w:rPr>
                <w:rFonts w:ascii="LindeDaxOffice Medium" w:hAnsi="LindeDaxOffice Medium"/>
                <w:szCs w:val="20"/>
              </w:rPr>
            </w:pPr>
            <w:r w:rsidRPr="006941CF">
              <w:rPr>
                <w:rFonts w:ascii="LindeDaxOffice Medium" w:hAnsi="LindeDaxOffice Medium"/>
                <w:szCs w:val="20"/>
              </w:rPr>
              <w:t xml:space="preserve">Revisão nos itens Composição do gás medicinal, Posologia e Administração e Precauções, conforme CD-35777 </w:t>
            </w:r>
            <w:r>
              <w:rPr>
                <w:rFonts w:ascii="LindeDaxOffice Medium" w:hAnsi="LindeDaxOffice Medium"/>
                <w:szCs w:val="20"/>
              </w:rPr>
              <w:t>rev</w:t>
            </w:r>
            <w:r w:rsidRPr="006941CF">
              <w:rPr>
                <w:rFonts w:ascii="LindeDaxOffice Medium" w:hAnsi="LindeDaxOffice Medium"/>
                <w:szCs w:val="20"/>
              </w:rPr>
              <w:t xml:space="preserve"> 1.</w:t>
            </w:r>
          </w:p>
        </w:tc>
      </w:tr>
      <w:tr w:rsidR="00263225" w:rsidRPr="006941CF" w14:paraId="453FE732" w14:textId="77777777" w:rsidTr="00340B5D">
        <w:trPr>
          <w:trHeight w:val="758"/>
        </w:trPr>
        <w:tc>
          <w:tcPr>
            <w:tcW w:w="2035" w:type="dxa"/>
            <w:shd w:val="clear" w:color="auto" w:fill="auto"/>
            <w:noWrap/>
            <w:vAlign w:val="center"/>
          </w:tcPr>
          <w:p w14:paraId="397E65A7" w14:textId="77777777" w:rsidR="00263225" w:rsidRPr="006941CF" w:rsidRDefault="00263225" w:rsidP="00263225">
            <w:pPr>
              <w:jc w:val="center"/>
              <w:rPr>
                <w:rFonts w:ascii="LindeDaxOffice Medium" w:hAnsi="LindeDaxOffice Medium"/>
                <w:szCs w:val="20"/>
              </w:rPr>
            </w:pPr>
            <w:r w:rsidRPr="006941CF">
              <w:rPr>
                <w:rFonts w:ascii="LindeDaxOffice Medium" w:hAnsi="LindeDaxOffice Medium"/>
                <w:szCs w:val="20"/>
              </w:rPr>
              <w:t>01</w:t>
            </w:r>
          </w:p>
        </w:tc>
        <w:tc>
          <w:tcPr>
            <w:tcW w:w="1353" w:type="dxa"/>
            <w:shd w:val="clear" w:color="auto" w:fill="auto"/>
            <w:noWrap/>
            <w:vAlign w:val="center"/>
          </w:tcPr>
          <w:p w14:paraId="410E9301" w14:textId="4356E0EC" w:rsidR="00263225" w:rsidRPr="006941CF" w:rsidRDefault="00263225" w:rsidP="00263225">
            <w:pPr>
              <w:jc w:val="center"/>
              <w:rPr>
                <w:rFonts w:ascii="LindeDaxOffice Medium" w:hAnsi="LindeDaxOffice Medium"/>
                <w:szCs w:val="20"/>
              </w:rPr>
            </w:pPr>
            <w:r w:rsidRPr="006941CF">
              <w:rPr>
                <w:rFonts w:ascii="LindeDaxOffice Medium" w:hAnsi="LindeDaxOffice Medium"/>
                <w:szCs w:val="20"/>
              </w:rPr>
              <w:t>01/04/2025</w:t>
            </w:r>
          </w:p>
        </w:tc>
        <w:tc>
          <w:tcPr>
            <w:tcW w:w="6391" w:type="dxa"/>
            <w:shd w:val="clear" w:color="auto" w:fill="auto"/>
            <w:noWrap/>
            <w:vAlign w:val="center"/>
          </w:tcPr>
          <w:p w14:paraId="672A774F" w14:textId="77777777" w:rsidR="00263225" w:rsidRPr="006941CF" w:rsidRDefault="00263225" w:rsidP="00263225">
            <w:pPr>
              <w:spacing w:after="0"/>
              <w:jc w:val="both"/>
              <w:rPr>
                <w:rFonts w:ascii="LindeDaxOffice Medium" w:hAnsi="LindeDaxOffice Medium"/>
                <w:szCs w:val="20"/>
              </w:rPr>
            </w:pPr>
            <w:r w:rsidRPr="006941CF">
              <w:rPr>
                <w:rFonts w:ascii="LindeDaxOffice Medium" w:hAnsi="LindeDaxOffice Medium"/>
                <w:szCs w:val="20"/>
              </w:rPr>
              <w:t>Incluído histórico de versões.</w:t>
            </w:r>
          </w:p>
          <w:p w14:paraId="63300BC1" w14:textId="66DD5B06" w:rsidR="00263225" w:rsidRPr="006941CF" w:rsidRDefault="00263225" w:rsidP="00263225">
            <w:pPr>
              <w:jc w:val="both"/>
              <w:rPr>
                <w:rFonts w:ascii="LindeDaxOffice Medium" w:hAnsi="LindeDaxOffice Medium"/>
                <w:szCs w:val="20"/>
              </w:rPr>
            </w:pPr>
            <w:r w:rsidRPr="006941CF">
              <w:rPr>
                <w:rFonts w:ascii="LindeDaxOffice Medium" w:hAnsi="LindeDaxOffice Medium"/>
                <w:szCs w:val="20"/>
              </w:rPr>
              <w:t>Harmonização à RDC 870/2024 e à IN 301/2024.</w:t>
            </w:r>
          </w:p>
        </w:tc>
      </w:tr>
    </w:tbl>
    <w:p w14:paraId="3F953B36" w14:textId="77777777" w:rsidR="006C2619" w:rsidRPr="006941CF" w:rsidRDefault="006C2619" w:rsidP="006C2619">
      <w:pPr>
        <w:spacing w:after="0" w:line="240" w:lineRule="auto"/>
        <w:jc w:val="both"/>
        <w:rPr>
          <w:rFonts w:ascii="LindeDaxOffice Medium" w:hAnsi="LindeDaxOffice Medium"/>
          <w:sz w:val="20"/>
          <w:szCs w:val="20"/>
        </w:rPr>
      </w:pPr>
    </w:p>
    <w:p w14:paraId="28C6A2AC" w14:textId="77777777" w:rsidR="002B1414" w:rsidRPr="006941CF" w:rsidRDefault="002B1414" w:rsidP="006C2619">
      <w:pPr>
        <w:autoSpaceDE w:val="0"/>
        <w:autoSpaceDN w:val="0"/>
        <w:adjustRightInd w:val="0"/>
        <w:jc w:val="both"/>
        <w:rPr>
          <w:rFonts w:ascii="LindeDaxOffice Medium" w:hAnsi="LindeDaxOffice Medium"/>
        </w:rPr>
      </w:pPr>
    </w:p>
    <w:sectPr w:rsidR="002B1414" w:rsidRPr="006941CF" w:rsidSect="00AC57C5">
      <w:footerReference w:type="default" r:id="rId10"/>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2E0F" w14:textId="77777777" w:rsidR="0068413B" w:rsidRDefault="0068413B" w:rsidP="00AC57C5">
      <w:pPr>
        <w:spacing w:after="0" w:line="240" w:lineRule="auto"/>
      </w:pPr>
      <w:r>
        <w:separator/>
      </w:r>
    </w:p>
  </w:endnote>
  <w:endnote w:type="continuationSeparator" w:id="0">
    <w:p w14:paraId="696E813F" w14:textId="77777777" w:rsidR="0068413B" w:rsidRDefault="0068413B" w:rsidP="00AC57C5">
      <w:pPr>
        <w:spacing w:after="0" w:line="240" w:lineRule="auto"/>
      </w:pPr>
      <w:r>
        <w:continuationSeparator/>
      </w:r>
    </w:p>
  </w:endnote>
  <w:endnote w:type="continuationNotice" w:id="1">
    <w:p w14:paraId="5EB66B4D" w14:textId="77777777" w:rsidR="003332B9" w:rsidRDefault="00333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deDaxOffice Medium">
    <w:panose1 w:val="020B0600000000020000"/>
    <w:charset w:val="00"/>
    <w:family w:val="swiss"/>
    <w:pitch w:val="variable"/>
    <w:sig w:usb0="800000AF" w:usb1="50002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15C2" w14:textId="15B8EA75" w:rsidR="00AC57C5" w:rsidRPr="00942D25" w:rsidRDefault="00942D25" w:rsidP="00942D25">
    <w:pPr>
      <w:pStyle w:val="Footer"/>
      <w:jc w:val="right"/>
    </w:pPr>
    <w:r w:rsidRPr="00FF6AAF">
      <w:rPr>
        <w:sz w:val="18"/>
        <w:szCs w:val="18"/>
      </w:rPr>
      <w:t>Verso Certificado Med</w:t>
    </w:r>
    <w:r w:rsidR="00A16C77">
      <w:rPr>
        <w:sz w:val="18"/>
        <w:szCs w:val="18"/>
      </w:rPr>
      <w:t>i</w:t>
    </w:r>
    <w:r w:rsidRPr="00FF6AAF">
      <w:rPr>
        <w:sz w:val="18"/>
        <w:szCs w:val="18"/>
      </w:rPr>
      <w:t xml:space="preserve">Pure </w:t>
    </w:r>
    <w:r w:rsidR="004E793C">
      <w:rPr>
        <w:sz w:val="18"/>
        <w:szCs w:val="18"/>
      </w:rPr>
      <w:t xml:space="preserve">- </w:t>
    </w:r>
    <w:r w:rsidR="001F2718" w:rsidRPr="005635DB">
      <w:rPr>
        <w:i/>
        <w:iCs/>
        <w:color w:val="0000FF"/>
        <w:sz w:val="18"/>
        <w:szCs w:val="18"/>
      </w:rPr>
      <w:t>Ficha Técnica</w:t>
    </w:r>
    <w:r w:rsidR="001F2718">
      <w:rPr>
        <w:sz w:val="18"/>
        <w:szCs w:val="18"/>
      </w:rPr>
      <w:t xml:space="preserve"> - </w:t>
    </w:r>
    <w:r w:rsidR="004E793C">
      <w:rPr>
        <w:sz w:val="18"/>
        <w:szCs w:val="18"/>
      </w:rPr>
      <w:t xml:space="preserve">Folheto Informativo </w:t>
    </w:r>
    <w:r>
      <w:rPr>
        <w:sz w:val="18"/>
        <w:szCs w:val="18"/>
      </w:rPr>
      <w:t>Nitrogênio</w:t>
    </w:r>
    <w:r w:rsidRPr="00FF6AAF">
      <w:rPr>
        <w:sz w:val="18"/>
        <w:szCs w:val="18"/>
      </w:rPr>
      <w:t xml:space="preserve"> Líquido Medicinal</w:t>
    </w:r>
    <w:r w:rsidR="004E793C">
      <w:rPr>
        <w:sz w:val="18"/>
        <w:szCs w:val="18"/>
      </w:rPr>
      <w:t xml:space="preserve"> -</w:t>
    </w:r>
    <w:r w:rsidRPr="00FF6AAF">
      <w:rPr>
        <w:sz w:val="18"/>
        <w:szCs w:val="18"/>
      </w:rPr>
      <w:t xml:space="preserve"> Rev 0</w:t>
    </w:r>
    <w:r w:rsidR="00872229">
      <w:rPr>
        <w:i/>
        <w:iCs/>
        <w:color w:val="0000FF"/>
        <w:sz w:val="18"/>
        <w:szCs w:val="18"/>
      </w:rPr>
      <w:t>3</w:t>
    </w:r>
    <w:r w:rsidRPr="00FF6AAF">
      <w:rPr>
        <w:sz w:val="18"/>
        <w:szCs w:val="18"/>
      </w:rPr>
      <w:t xml:space="preserve"> </w:t>
    </w:r>
    <w:r>
      <w:rPr>
        <w:sz w:val="18"/>
        <w:szCs w:val="18"/>
      </w:rPr>
      <w:t>–</w:t>
    </w:r>
    <w:r w:rsidRPr="00FF6AAF">
      <w:rPr>
        <w:sz w:val="18"/>
        <w:szCs w:val="18"/>
      </w:rPr>
      <w:t xml:space="preserve"> 0</w:t>
    </w:r>
    <w:r w:rsidR="00872229">
      <w:rPr>
        <w:i/>
        <w:iCs/>
        <w:color w:val="0000FF"/>
        <w:sz w:val="18"/>
        <w:szCs w:val="18"/>
      </w:rPr>
      <w:t>6</w:t>
    </w:r>
    <w:r w:rsidRPr="00FF6AAF">
      <w:rPr>
        <w:sz w:val="18"/>
        <w:szCs w:val="18"/>
      </w:rPr>
      <w:t>/202</w:t>
    </w:r>
    <w:r w:rsidR="00872229">
      <w:rPr>
        <w:i/>
        <w:iCs/>
        <w:color w:val="0000F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4F99" w14:textId="77777777" w:rsidR="0068413B" w:rsidRDefault="0068413B" w:rsidP="00AC57C5">
      <w:pPr>
        <w:spacing w:after="0" w:line="240" w:lineRule="auto"/>
      </w:pPr>
      <w:r>
        <w:separator/>
      </w:r>
    </w:p>
  </w:footnote>
  <w:footnote w:type="continuationSeparator" w:id="0">
    <w:p w14:paraId="36AAE1CC" w14:textId="77777777" w:rsidR="0068413B" w:rsidRDefault="0068413B" w:rsidP="00AC57C5">
      <w:pPr>
        <w:spacing w:after="0" w:line="240" w:lineRule="auto"/>
      </w:pPr>
      <w:r>
        <w:continuationSeparator/>
      </w:r>
    </w:p>
  </w:footnote>
  <w:footnote w:type="continuationNotice" w:id="1">
    <w:p w14:paraId="5C57E405" w14:textId="77777777" w:rsidR="003332B9" w:rsidRDefault="003332B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ZU017wwv9KN6f2kiHixmdZ8xGLJWJjawlB29fXAEvGK/e/J3qUI4ez2h8GaaHAmTYn27QMExEdAHFNcVgIGsA==" w:salt="2ENbfjirBl2VhWcc0L9v9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DC"/>
    <w:rsid w:val="0003609A"/>
    <w:rsid w:val="000412BE"/>
    <w:rsid w:val="000A3863"/>
    <w:rsid w:val="000B075E"/>
    <w:rsid w:val="00111FE7"/>
    <w:rsid w:val="001528CC"/>
    <w:rsid w:val="001A7BBA"/>
    <w:rsid w:val="001F2718"/>
    <w:rsid w:val="00220C89"/>
    <w:rsid w:val="00263225"/>
    <w:rsid w:val="0026453B"/>
    <w:rsid w:val="002924CA"/>
    <w:rsid w:val="002B1414"/>
    <w:rsid w:val="002E614E"/>
    <w:rsid w:val="00306017"/>
    <w:rsid w:val="003332B9"/>
    <w:rsid w:val="00340B5D"/>
    <w:rsid w:val="00352C28"/>
    <w:rsid w:val="004352FE"/>
    <w:rsid w:val="004451BD"/>
    <w:rsid w:val="004677F7"/>
    <w:rsid w:val="004A790D"/>
    <w:rsid w:val="004B7FBB"/>
    <w:rsid w:val="004D3C08"/>
    <w:rsid w:val="004E51E5"/>
    <w:rsid w:val="004E793C"/>
    <w:rsid w:val="004F54F5"/>
    <w:rsid w:val="005235CC"/>
    <w:rsid w:val="00535ED2"/>
    <w:rsid w:val="005556AD"/>
    <w:rsid w:val="005B24D1"/>
    <w:rsid w:val="005C0892"/>
    <w:rsid w:val="005D376B"/>
    <w:rsid w:val="006235F4"/>
    <w:rsid w:val="0066382E"/>
    <w:rsid w:val="00670B8E"/>
    <w:rsid w:val="00675F4C"/>
    <w:rsid w:val="0068413B"/>
    <w:rsid w:val="006941CF"/>
    <w:rsid w:val="006C2619"/>
    <w:rsid w:val="006E40A3"/>
    <w:rsid w:val="006F1279"/>
    <w:rsid w:val="006F337A"/>
    <w:rsid w:val="00723672"/>
    <w:rsid w:val="007952FE"/>
    <w:rsid w:val="007D7965"/>
    <w:rsid w:val="007F119C"/>
    <w:rsid w:val="00872229"/>
    <w:rsid w:val="008E12CC"/>
    <w:rsid w:val="00912408"/>
    <w:rsid w:val="00941FFB"/>
    <w:rsid w:val="00942D25"/>
    <w:rsid w:val="009D2B92"/>
    <w:rsid w:val="00A167D3"/>
    <w:rsid w:val="00A16C77"/>
    <w:rsid w:val="00A40031"/>
    <w:rsid w:val="00A52024"/>
    <w:rsid w:val="00A72020"/>
    <w:rsid w:val="00AC57C5"/>
    <w:rsid w:val="00AD4725"/>
    <w:rsid w:val="00B10900"/>
    <w:rsid w:val="00B46DA7"/>
    <w:rsid w:val="00B53F0C"/>
    <w:rsid w:val="00B54D64"/>
    <w:rsid w:val="00BE70E6"/>
    <w:rsid w:val="00BF1FC7"/>
    <w:rsid w:val="00BF7F26"/>
    <w:rsid w:val="00C241C8"/>
    <w:rsid w:val="00C42B93"/>
    <w:rsid w:val="00C47251"/>
    <w:rsid w:val="00C71EBE"/>
    <w:rsid w:val="00CB4045"/>
    <w:rsid w:val="00CE16DF"/>
    <w:rsid w:val="00D37FF7"/>
    <w:rsid w:val="00D478F0"/>
    <w:rsid w:val="00D57605"/>
    <w:rsid w:val="00D579CD"/>
    <w:rsid w:val="00D82D48"/>
    <w:rsid w:val="00DA5C56"/>
    <w:rsid w:val="00DD0EDC"/>
    <w:rsid w:val="00E03A7B"/>
    <w:rsid w:val="00E4280D"/>
    <w:rsid w:val="00E61AC0"/>
    <w:rsid w:val="00E6573E"/>
    <w:rsid w:val="00E77D3F"/>
    <w:rsid w:val="00EC19C8"/>
    <w:rsid w:val="00EE5E9A"/>
    <w:rsid w:val="00EF39C6"/>
    <w:rsid w:val="00F464B1"/>
    <w:rsid w:val="00F61021"/>
    <w:rsid w:val="00F93910"/>
    <w:rsid w:val="00FA002B"/>
    <w:rsid w:val="00FA5608"/>
    <w:rsid w:val="00FF2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24B46"/>
  <w14:defaultImageDpi w14:val="0"/>
  <w15:docId w15:val="{1A8B4A21-9C11-4449-A723-9183178D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7C5"/>
    <w:pPr>
      <w:tabs>
        <w:tab w:val="center" w:pos="4252"/>
        <w:tab w:val="right" w:pos="8504"/>
      </w:tabs>
      <w:spacing w:after="0" w:line="240" w:lineRule="auto"/>
    </w:pPr>
  </w:style>
  <w:style w:type="character" w:customStyle="1" w:styleId="HeaderChar">
    <w:name w:val="Header Char"/>
    <w:basedOn w:val="DefaultParagraphFont"/>
    <w:link w:val="Header"/>
    <w:uiPriority w:val="99"/>
    <w:rsid w:val="00AC57C5"/>
    <w:rPr>
      <w:rFonts w:cs="Times New Roman"/>
    </w:rPr>
  </w:style>
  <w:style w:type="paragraph" w:styleId="Footer">
    <w:name w:val="footer"/>
    <w:basedOn w:val="Normal"/>
    <w:link w:val="FooterChar"/>
    <w:uiPriority w:val="99"/>
    <w:unhideWhenUsed/>
    <w:rsid w:val="00AC57C5"/>
    <w:pPr>
      <w:tabs>
        <w:tab w:val="center" w:pos="4252"/>
        <w:tab w:val="right" w:pos="8504"/>
      </w:tabs>
      <w:spacing w:after="0" w:line="240" w:lineRule="auto"/>
    </w:pPr>
  </w:style>
  <w:style w:type="character" w:customStyle="1" w:styleId="FooterChar">
    <w:name w:val="Footer Char"/>
    <w:basedOn w:val="DefaultParagraphFont"/>
    <w:link w:val="Footer"/>
    <w:uiPriority w:val="99"/>
    <w:rsid w:val="00AC57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5775">
      <w:marLeft w:val="0"/>
      <w:marRight w:val="0"/>
      <w:marTop w:val="0"/>
      <w:marBottom w:val="0"/>
      <w:divBdr>
        <w:top w:val="none" w:sz="0" w:space="0" w:color="auto"/>
        <w:left w:val="none" w:sz="0" w:space="0" w:color="auto"/>
        <w:bottom w:val="none" w:sz="0" w:space="0" w:color="auto"/>
        <w:right w:val="none" w:sz="0" w:space="0" w:color="auto"/>
      </w:divBdr>
    </w:div>
    <w:div w:id="234055776">
      <w:marLeft w:val="0"/>
      <w:marRight w:val="0"/>
      <w:marTop w:val="0"/>
      <w:marBottom w:val="0"/>
      <w:divBdr>
        <w:top w:val="none" w:sz="0" w:space="0" w:color="auto"/>
        <w:left w:val="none" w:sz="0" w:space="0" w:color="auto"/>
        <w:bottom w:val="none" w:sz="0" w:space="0" w:color="auto"/>
        <w:right w:val="none" w:sz="0" w:space="0" w:color="auto"/>
      </w:divBdr>
    </w:div>
    <w:div w:id="1254778924">
      <w:bodyDiv w:val="1"/>
      <w:marLeft w:val="0"/>
      <w:marRight w:val="0"/>
      <w:marTop w:val="0"/>
      <w:marBottom w:val="0"/>
      <w:divBdr>
        <w:top w:val="none" w:sz="0" w:space="0" w:color="auto"/>
        <w:left w:val="none" w:sz="0" w:space="0" w:color="auto"/>
        <w:bottom w:val="none" w:sz="0" w:space="0" w:color="auto"/>
        <w:right w:val="none" w:sz="0" w:space="0" w:color="auto"/>
      </w:divBdr>
    </w:div>
    <w:div w:id="17627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635483159594472183</Data>
    <Filter/>
  </Receiver>
</spe:Receivers>
</file>

<file path=customXml/item2.xml><?xml version="1.0" encoding="utf-8"?>
<ct:contentTypeSchema xmlns:ct="http://schemas.microsoft.com/office/2006/metadata/contentType" xmlns:ma="http://schemas.microsoft.com/office/2006/metadata/properties/metaAttributes" ct:_="" ma:_="" ma:contentTypeName="Praxair Document" ma:contentTypeID="0x0101005332F085960B44D6AE9F21E430192CB90100872A1D93FF673044B244C6FECF66743C" ma:contentTypeVersion="15" ma:contentTypeDescription="Praxair Content Types" ma:contentTypeScope="" ma:versionID="c45bebc04acd77859484e5411a638282">
  <xsd:schema xmlns:xsd="http://www.w3.org/2001/XMLSchema" xmlns:xs="http://www.w3.org/2001/XMLSchema" xmlns:p="http://schemas.microsoft.com/office/2006/metadata/properties" xmlns:ns1="4213deca-91d5-4863-a86b-37f9ba5d141a" xmlns:ns3="http://schemas.microsoft.com/sharepoint/v3/fields" targetNamespace="http://schemas.microsoft.com/office/2006/metadata/properties" ma:root="true" ma:fieldsID="acb979e7e82243b82305d19e93245340" ns1:_="" ns3:_="">
    <xsd:import namespace="4213deca-91d5-4863-a86b-37f9ba5d141a"/>
    <xsd:import namespace="http://schemas.microsoft.com/sharepoint/v3/fields"/>
    <xsd:element name="properties">
      <xsd:complexType>
        <xsd:sequence>
          <xsd:element name="documentManagement">
            <xsd:complexType>
              <xsd:all>
                <xsd:element ref="ns1:Para_x0020_qualifica_x00e7__x00e3_o_x0020__x0028_QI_x0020__x002f__x0020_QO_x0029_" minOccurs="0"/>
                <xsd:element ref="ns1:Normas_x0020_Aplic_x00e1_veis" minOccurs="0"/>
                <xsd:element ref="ns1:Revis_x00e3_o"/>
                <xsd:element ref="ns1:Data" minOccurs="0"/>
                <xsd:element ref="ns1:Status" minOccurs="0"/>
                <xsd:element ref="ns1:QI_x002d_QO" minOccurs="0"/>
                <xsd:element ref="ns3:Confidentiality" minOccurs="0"/>
                <xsd:element ref="ns3: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3deca-91d5-4863-a86b-37f9ba5d141a" elementFormDefault="qualified">
    <xsd:import namespace="http://schemas.microsoft.com/office/2006/documentManagement/types"/>
    <xsd:import namespace="http://schemas.microsoft.com/office/infopath/2007/PartnerControls"/>
    <xsd:element name="Para_x0020_qualifica_x00e7__x00e3_o_x0020__x0028_QI_x0020__x002f__x0020_QO_x0029_" ma:index="0" nillable="true" ma:displayName="Para qualificação (QI / QO)" ma:default="Não" ma:format="RadioButtons" ma:internalName="Para_x0020_qualifica_x00e7__x00e3_o_x0020__x0028_QI_x0020__x002f__x0020_QO_x0029_">
      <xsd:simpleType>
        <xsd:restriction base="dms:Choice">
          <xsd:enumeration value="Não"/>
          <xsd:enumeration value="Sim"/>
        </xsd:restriction>
      </xsd:simpleType>
    </xsd:element>
    <xsd:element name="Normas_x0020_Aplic_x00e1_veis" ma:index="2" nillable="true" ma:displayName="Normas Aplicáveis" ma:internalName="Normas_x0020_Aplic_x00e1_veis">
      <xsd:simpleType>
        <xsd:restriction base="dms:Text">
          <xsd:maxLength value="255"/>
        </xsd:restriction>
      </xsd:simpleType>
    </xsd:element>
    <xsd:element name="Revis_x00e3_o" ma:index="4" ma:displayName="Revisão" ma:internalName="Revis_x00e3_o" ma:readOnly="false">
      <xsd:simpleType>
        <xsd:restriction base="dms:Text">
          <xsd:maxLength value="8"/>
        </xsd:restriction>
      </xsd:simpleType>
    </xsd:element>
    <xsd:element name="Data" ma:index="5" nillable="true" ma:displayName="Data" ma:internalName="Data">
      <xsd:simpleType>
        <xsd:restriction base="dms:Text">
          <xsd:maxLength value="8"/>
        </xsd:restriction>
      </xsd:simpleType>
    </xsd:element>
    <xsd:element name="Status" ma:index="6" nillable="true" ma:displayName="Status" ma:default="Vigente" ma:format="RadioButtons" ma:internalName="Status">
      <xsd:simpleType>
        <xsd:restriction base="dms:Choice">
          <xsd:enumeration value="Vigente"/>
          <xsd:enumeration value="Cancelado"/>
        </xsd:restriction>
      </xsd:simpleType>
    </xsd:element>
    <xsd:element name="QI_x002d_QO" ma:index="7" nillable="true" ma:displayName="QI-QO" ma:default="Não" ma:format="RadioButtons" ma:internalName="QI_x002d_QO">
      <xsd:simpleType>
        <xsd:restriction base="dms:Choice">
          <xsd:enumeration value="Não"/>
          <xsd:enumeration value="Si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ity" ma:index="8" nillable="true" ma:displayName="Confidentiality" ma:default="Praxair Internal" ma:description="Indicates whether or not this content may be shared outside Praxair.  Praxair Internal means that the document may not be shared with someone who is not a Praxair employee." ma:hidden="true" ma:internalName="Confidentiality" ma:readOnly="false">
      <xsd:simpleType>
        <xsd:restriction base="dms:Choice">
          <xsd:enumeration value="Praxair Internal"/>
          <xsd:enumeration value="High Confidentiality"/>
          <xsd:enumeration value="Public"/>
        </xsd:restriction>
      </xsd:simpleType>
    </xsd:element>
    <xsd:element name="DocumentDescription" ma:index="14" nillable="true" ma:displayName="Document Description" ma:description="Description of the document, if not obvious from the name.  Limited to 255 characters, including spaces." ma:hidden="true" ma:internalName="Document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ú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I_x002d_QO xmlns="4213deca-91d5-4863-a86b-37f9ba5d141a">Não</QI_x002d_QO>
    <Confidentiality xmlns="http://schemas.microsoft.com/sharepoint/v3/fields">Praxair Internal</Confidentiality>
    <Status xmlns="4213deca-91d5-4863-a86b-37f9ba5d141a">Vigente</Status>
    <Normas_x0020_Aplic_x00e1_veis xmlns="4213deca-91d5-4863-a86b-37f9ba5d141a">NQ 20006, NQ 20020, NQ 10059</Normas_x0020_Aplic_x00e1_veis>
    <Revis_x00e3_o xmlns="4213deca-91d5-4863-a86b-37f9ba5d141a">03</Revis_x00e3_o>
    <Para_x0020_qualifica_x00e7__x00e3_o_x0020__x0028_QI_x0020__x002f__x0020_QO_x0029_ xmlns="4213deca-91d5-4863-a86b-37f9ba5d141a">Não</Para_x0020_qualifica_x00e7__x00e3_o_x0020__x0028_QI_x0020__x002f__x0020_QO_x0029_>
    <Data xmlns="4213deca-91d5-4863-a86b-37f9ba5d141a">06/2026</Data>
    <DocumentDescription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64143-9A4F-4A3D-A9A8-C32C7EC5B456}">
  <ds:schemaRefs>
    <ds:schemaRef ds:uri="http://schemas.microsoft.com/sharepoint/events"/>
  </ds:schemaRefs>
</ds:datastoreItem>
</file>

<file path=customXml/itemProps2.xml><?xml version="1.0" encoding="utf-8"?>
<ds:datastoreItem xmlns:ds="http://schemas.openxmlformats.org/officeDocument/2006/customXml" ds:itemID="{E0D70501-63E7-4628-B2FA-1F97D14CC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3deca-91d5-4863-a86b-37f9ba5d14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E7BBF-BD22-467D-8145-7A52F0D6DAC6}">
  <ds:schemaRefs>
    <ds:schemaRef ds:uri="http://purl.org/dc/terms/"/>
    <ds:schemaRef ds:uri="4213deca-91d5-4863-a86b-37f9ba5d141a"/>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6098659-B735-406F-91AD-699DB0CF9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3730</Characters>
  <Application>Microsoft Office Word</Application>
  <DocSecurity>12</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Verso Certificado MediPure - Ficha Técnica - Folheto Informativo Nitrogênio Líquido Medicinal</dc:title>
  <dc:subject/>
  <dc:creator>Rodrigo Pires</dc:creator>
  <cp:keywords/>
  <dc:description/>
  <cp:lastModifiedBy>Julia Costa</cp:lastModifiedBy>
  <cp:revision>2</cp:revision>
  <dcterms:created xsi:type="dcterms:W3CDTF">2026-06-15T14:38:00Z</dcterms:created>
  <dcterms:modified xsi:type="dcterms:W3CDTF">2026-06-15T14:38:00Z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0x0101005332F085960B44D6AE9F21E430192CB90100872A1D93FF673044B244C6FECF66743C</vt:lpwstr>
  </property>
  <property fmtid="{D5CDD505-2E9C-101B-9397-08002B2CF9AE}" pid="3" name="MediaServiceImageTags">
    <vt:lpwstr/>
  </property>
</Properties>
</file>