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04D0E" w14:textId="56E4D047" w:rsidR="00F21B13" w:rsidRPr="009E4DAF" w:rsidRDefault="002A5C4C" w:rsidP="00CC28F6">
      <w:pPr>
        <w:rPr>
          <w:rFonts w:ascii="LindeDaxOffice Medium" w:hAnsi="LindeDaxOffice Medium"/>
          <w:b/>
          <w:bCs/>
          <w:color w:val="000000" w:themeColor="text1"/>
        </w:rPr>
      </w:pPr>
      <w:r w:rsidRPr="00233E4A">
        <w:rPr>
          <w:rFonts w:ascii="LindeDaxOffice Medium" w:hAnsi="LindeDaxOffice Medium"/>
          <w:b/>
          <w:bCs/>
        </w:rPr>
        <w:t xml:space="preserve">Ficha Técnica – </w:t>
      </w:r>
      <w:r>
        <w:rPr>
          <w:rFonts w:ascii="LindeDaxOffice Medium" w:hAnsi="LindeDaxOffice Medium"/>
          <w:b/>
          <w:bCs/>
        </w:rPr>
        <w:t xml:space="preserve">Texto do </w:t>
      </w:r>
      <w:r w:rsidRPr="00233E4A">
        <w:rPr>
          <w:rFonts w:ascii="LindeDaxOffice Medium" w:hAnsi="LindeDaxOffice Medium"/>
          <w:b/>
          <w:bCs/>
        </w:rPr>
        <w:t>Rótulo – Folheto Informativo</w:t>
      </w:r>
    </w:p>
    <w:p w14:paraId="0DDA56A4" w14:textId="792FF025" w:rsidR="00CC28F6" w:rsidRPr="009E4DAF" w:rsidRDefault="00457E7D" w:rsidP="00CC28F6">
      <w:pPr>
        <w:rPr>
          <w:rFonts w:ascii="LindeDaxOffice Medium" w:hAnsi="LindeDaxOffice Medium"/>
          <w:b/>
          <w:bCs/>
          <w:color w:val="000000" w:themeColor="text1"/>
          <w:sz w:val="18"/>
          <w:szCs w:val="18"/>
        </w:rPr>
      </w:pPr>
      <w:r w:rsidRPr="009E4DAF">
        <w:rPr>
          <w:rFonts w:ascii="LindeDaxOffice Medium" w:hAnsi="LindeDaxOffice Medium"/>
          <w:b/>
          <w:bCs/>
          <w:color w:val="000000" w:themeColor="text1"/>
        </w:rPr>
        <w:t>Oxigênio Medicinal (O</w:t>
      </w:r>
      <w:r w:rsidRPr="009E4DAF">
        <w:rPr>
          <w:rFonts w:ascii="LindeDaxOffice Medium" w:hAnsi="LindeDaxOffice Medium"/>
          <w:b/>
          <w:bCs/>
          <w:color w:val="000000" w:themeColor="text1"/>
          <w:vertAlign w:val="subscript"/>
        </w:rPr>
        <w:t>2</w:t>
      </w:r>
      <w:r w:rsidRPr="009E4DAF">
        <w:rPr>
          <w:rFonts w:ascii="LindeDaxOffice Medium" w:hAnsi="LindeDaxOffice Medium"/>
          <w:b/>
          <w:bCs/>
          <w:color w:val="000000" w:themeColor="text1"/>
        </w:rPr>
        <w:t>), Líquido Criogênico</w:t>
      </w:r>
      <w:r w:rsidR="00CC1954" w:rsidRPr="009E4DAF">
        <w:rPr>
          <w:rFonts w:ascii="LindeDaxOffice Medium" w:hAnsi="LindeDaxOffice Medium"/>
          <w:b/>
          <w:bCs/>
          <w:color w:val="000000" w:themeColor="text1"/>
        </w:rPr>
        <w:t>,</w:t>
      </w:r>
      <w:r w:rsidR="004312B1" w:rsidRPr="009E4DAF">
        <w:rPr>
          <w:rFonts w:ascii="LindeDaxOffice Medium" w:hAnsi="LindeDaxOffice Medium"/>
          <w:b/>
          <w:bCs/>
          <w:color w:val="000000" w:themeColor="text1"/>
        </w:rPr>
        <w:t xml:space="preserve"> ONU 1073</w:t>
      </w:r>
    </w:p>
    <w:p w14:paraId="2EE2BDF1" w14:textId="71FE437D" w:rsidR="005D6B69" w:rsidRDefault="00CB6FBD" w:rsidP="00DA0585">
      <w:pPr>
        <w:spacing w:after="0"/>
        <w:rPr>
          <w:rFonts w:ascii="LindeDaxOffice Medium" w:hAnsi="LindeDaxOffice Medium"/>
          <w:i/>
          <w:iCs/>
          <w:color w:val="000000" w:themeColor="text1"/>
        </w:rPr>
      </w:pPr>
      <w:r>
        <w:rPr>
          <w:rFonts w:ascii="LindeDaxOffice Medium" w:hAnsi="LindeDaxOffice Medium"/>
          <w:b/>
          <w:bCs/>
          <w:color w:val="000000" w:themeColor="text1"/>
        </w:rPr>
        <w:t>C</w:t>
      </w:r>
      <w:r w:rsidRPr="009E4DAF">
        <w:rPr>
          <w:rFonts w:ascii="LindeDaxOffice Medium" w:hAnsi="LindeDaxOffice Medium"/>
          <w:b/>
          <w:bCs/>
          <w:color w:val="000000" w:themeColor="text1"/>
        </w:rPr>
        <w:t xml:space="preserve">omposição do </w:t>
      </w:r>
      <w:r w:rsidR="001F45AA" w:rsidRPr="009E4DAF">
        <w:rPr>
          <w:rFonts w:ascii="LindeDaxOffice Medium" w:hAnsi="LindeDaxOffice Medium"/>
          <w:b/>
          <w:bCs/>
          <w:color w:val="000000" w:themeColor="text1"/>
        </w:rPr>
        <w:t>Gás Medicinal</w:t>
      </w:r>
      <w:r w:rsidR="005D6B69" w:rsidRPr="009E4DAF">
        <w:rPr>
          <w:rFonts w:ascii="LindeDaxOffice Medium" w:hAnsi="LindeDaxOffice Medium"/>
          <w:b/>
          <w:bCs/>
          <w:color w:val="000000" w:themeColor="text1"/>
        </w:rPr>
        <w:t xml:space="preserve">: </w:t>
      </w:r>
      <w:r w:rsidR="005D6B69" w:rsidRPr="009E4DAF">
        <w:rPr>
          <w:rFonts w:ascii="LindeDaxOffice Medium" w:hAnsi="LindeDaxOffice Medium"/>
          <w:color w:val="000000" w:themeColor="text1"/>
        </w:rPr>
        <w:t>99,5% vol/vol (mínimo)</w:t>
      </w:r>
      <w:r w:rsidR="00BD0E5C" w:rsidRPr="009E4DAF">
        <w:rPr>
          <w:rFonts w:ascii="LindeDaxOffice Medium" w:hAnsi="LindeDaxOffice Medium"/>
          <w:color w:val="000000" w:themeColor="text1"/>
        </w:rPr>
        <w:t>. Não há excipientes</w:t>
      </w:r>
      <w:r w:rsidR="00BD0E5C" w:rsidRPr="009E4DAF">
        <w:rPr>
          <w:rFonts w:ascii="LindeDaxOffice Medium" w:hAnsi="LindeDaxOffice Medium"/>
          <w:i/>
          <w:iCs/>
          <w:color w:val="000000" w:themeColor="text1"/>
        </w:rPr>
        <w:t>.</w:t>
      </w:r>
    </w:p>
    <w:tbl>
      <w:tblPr>
        <w:tblStyle w:val="TableGrid"/>
        <w:tblpPr w:leftFromText="141" w:rightFromText="141" w:vertAnchor="text" w:horzAnchor="margin" w:tblpY="274"/>
        <w:tblW w:w="0" w:type="auto"/>
        <w:tblLook w:val="04A0" w:firstRow="1" w:lastRow="0" w:firstColumn="1" w:lastColumn="0" w:noHBand="0" w:noVBand="1"/>
      </w:tblPr>
      <w:tblGrid>
        <w:gridCol w:w="2830"/>
        <w:gridCol w:w="1062"/>
        <w:gridCol w:w="1036"/>
      </w:tblGrid>
      <w:tr w:rsidR="00E3539E" w:rsidRPr="001C0C33" w14:paraId="66C644B2" w14:textId="77777777" w:rsidTr="000205B2">
        <w:tc>
          <w:tcPr>
            <w:tcW w:w="2830" w:type="dxa"/>
          </w:tcPr>
          <w:p w14:paraId="4F0FC825" w14:textId="77BDF446" w:rsidR="00E3539E" w:rsidRPr="001C0C33" w:rsidRDefault="00E3539E" w:rsidP="000205B2">
            <w:pPr>
              <w:rPr>
                <w:rFonts w:ascii="LindeDaxOffice Medium" w:hAnsi="LindeDaxOffice Medium"/>
                <w:b/>
                <w:bCs/>
              </w:rPr>
            </w:pPr>
            <w:r w:rsidRPr="001C0C33">
              <w:rPr>
                <w:rFonts w:ascii="LindeDaxOffice Medium" w:hAnsi="LindeDaxOffice Medium"/>
                <w:b/>
                <w:bCs/>
              </w:rPr>
              <w:t>Tipo de recipiente</w:t>
            </w:r>
          </w:p>
        </w:tc>
        <w:tc>
          <w:tcPr>
            <w:tcW w:w="804" w:type="dxa"/>
          </w:tcPr>
          <w:p w14:paraId="2B7E0C7F" w14:textId="12A2A15F" w:rsidR="00E3539E" w:rsidRPr="001C0C33" w:rsidRDefault="00DA0585" w:rsidP="000205B2">
            <w:pPr>
              <w:jc w:val="center"/>
              <w:rPr>
                <w:rFonts w:ascii="LindeDaxOffice Medium" w:hAnsi="LindeDaxOffice Medium"/>
              </w:rPr>
            </w:pPr>
            <w:r w:rsidRPr="001C0C33">
              <w:rPr>
                <w:rFonts w:ascii="LindeDaxOffice Medium" w:hAnsi="LindeDaxOffice Medium"/>
              </w:rPr>
              <w:t>Liberator</w:t>
            </w:r>
          </w:p>
        </w:tc>
        <w:tc>
          <w:tcPr>
            <w:tcW w:w="810" w:type="dxa"/>
          </w:tcPr>
          <w:p w14:paraId="1DB2263A" w14:textId="5B73510B" w:rsidR="00E3539E" w:rsidRPr="001C0C33" w:rsidRDefault="00DA0585" w:rsidP="000205B2">
            <w:pPr>
              <w:jc w:val="center"/>
              <w:rPr>
                <w:rFonts w:ascii="LindeDaxOffice Medium" w:hAnsi="LindeDaxOffice Medium"/>
              </w:rPr>
            </w:pPr>
            <w:r w:rsidRPr="001C0C33">
              <w:rPr>
                <w:rFonts w:ascii="LindeDaxOffice Medium" w:hAnsi="LindeDaxOffice Medium"/>
              </w:rPr>
              <w:t>Minibulk</w:t>
            </w:r>
          </w:p>
        </w:tc>
      </w:tr>
      <w:tr w:rsidR="00E3539E" w:rsidRPr="001C0C33" w14:paraId="1330925B" w14:textId="77777777" w:rsidTr="000205B2">
        <w:tc>
          <w:tcPr>
            <w:tcW w:w="2830" w:type="dxa"/>
          </w:tcPr>
          <w:p w14:paraId="5F46484A" w14:textId="77777777" w:rsidR="00E3539E" w:rsidRPr="001C0C33" w:rsidRDefault="00E3539E" w:rsidP="000205B2">
            <w:pPr>
              <w:rPr>
                <w:rFonts w:ascii="LindeDaxOffice Medium" w:hAnsi="LindeDaxOffice Medium"/>
                <w:b/>
                <w:bCs/>
              </w:rPr>
            </w:pPr>
            <w:r w:rsidRPr="001C0C33">
              <w:rPr>
                <w:rFonts w:ascii="LindeDaxOffice Medium" w:hAnsi="LindeDaxOffice Medium"/>
                <w:b/>
                <w:bCs/>
              </w:rPr>
              <w:t>Quantidade (m³)</w:t>
            </w:r>
          </w:p>
        </w:tc>
        <w:tc>
          <w:tcPr>
            <w:tcW w:w="804" w:type="dxa"/>
          </w:tcPr>
          <w:p w14:paraId="265020BE" w14:textId="23E2F1DD" w:rsidR="00E3539E" w:rsidRPr="001C0C33" w:rsidRDefault="00DA0585" w:rsidP="000205B2">
            <w:pPr>
              <w:jc w:val="center"/>
              <w:rPr>
                <w:rFonts w:ascii="LindeDaxOffice Medium" w:hAnsi="LindeDaxOffice Medium"/>
              </w:rPr>
            </w:pPr>
            <w:r w:rsidRPr="001C0C33">
              <w:rPr>
                <w:rFonts w:ascii="LindeDaxOffice Medium" w:hAnsi="LindeDaxOffice Medium"/>
              </w:rPr>
              <w:t>37</w:t>
            </w:r>
          </w:p>
        </w:tc>
        <w:tc>
          <w:tcPr>
            <w:tcW w:w="810" w:type="dxa"/>
          </w:tcPr>
          <w:p w14:paraId="6B04D50A" w14:textId="443CEEB1" w:rsidR="00E3539E" w:rsidRPr="001C0C33" w:rsidRDefault="00DA0585" w:rsidP="000205B2">
            <w:pPr>
              <w:jc w:val="center"/>
              <w:rPr>
                <w:rFonts w:ascii="LindeDaxOffice Medium" w:hAnsi="LindeDaxOffice Medium"/>
              </w:rPr>
            </w:pPr>
            <w:r w:rsidRPr="001C0C33">
              <w:rPr>
                <w:rFonts w:ascii="LindeDaxOffice Medium" w:hAnsi="LindeDaxOffice Medium"/>
              </w:rPr>
              <w:t>164</w:t>
            </w:r>
          </w:p>
        </w:tc>
      </w:tr>
    </w:tbl>
    <w:p w14:paraId="12B89A9A" w14:textId="77777777" w:rsidR="00E3539E" w:rsidRDefault="00E3539E" w:rsidP="00CC28F6">
      <w:pPr>
        <w:rPr>
          <w:rFonts w:ascii="LindeDaxOffice Medium" w:hAnsi="LindeDaxOffice Medium"/>
          <w:b/>
          <w:bCs/>
          <w:color w:val="000000" w:themeColor="text1"/>
        </w:rPr>
      </w:pPr>
    </w:p>
    <w:p w14:paraId="5CA0CF1B" w14:textId="77777777" w:rsidR="00E3539E" w:rsidRPr="009E4DAF" w:rsidRDefault="00E3539E" w:rsidP="00CC28F6">
      <w:pPr>
        <w:rPr>
          <w:rFonts w:ascii="LindeDaxOffice Medium" w:hAnsi="LindeDaxOffice Medium"/>
          <w:b/>
          <w:bCs/>
          <w:color w:val="000000" w:themeColor="text1"/>
        </w:rPr>
      </w:pPr>
    </w:p>
    <w:p w14:paraId="7DB80957" w14:textId="709DD53D" w:rsidR="00CC28F6" w:rsidRPr="009E4DAF" w:rsidRDefault="00CC28F6" w:rsidP="00DA0585">
      <w:pPr>
        <w:spacing w:after="0"/>
        <w:rPr>
          <w:rFonts w:ascii="LindeDaxOffice Medium" w:hAnsi="LindeDaxOffice Medium"/>
          <w:b/>
          <w:bCs/>
          <w:color w:val="000000" w:themeColor="text1"/>
        </w:rPr>
      </w:pPr>
    </w:p>
    <w:p w14:paraId="5BD68B2B" w14:textId="5FC64B5F" w:rsidR="00E82BFC" w:rsidRDefault="00CB6FBD" w:rsidP="00E82BFC">
      <w:pPr>
        <w:jc w:val="both"/>
        <w:rPr>
          <w:rFonts w:ascii="LindeDaxOffice Medium" w:hAnsi="LindeDaxOffice Medium"/>
          <w:color w:val="000000" w:themeColor="text1"/>
        </w:rPr>
      </w:pPr>
      <w:r>
        <w:rPr>
          <w:rFonts w:ascii="LindeDaxOffice Medium" w:hAnsi="LindeDaxOffice Medium"/>
          <w:b/>
          <w:bCs/>
          <w:color w:val="000000" w:themeColor="text1"/>
        </w:rPr>
        <w:t>V</w:t>
      </w:r>
      <w:r w:rsidRPr="009E4DAF">
        <w:rPr>
          <w:rFonts w:ascii="LindeDaxOffice Medium" w:hAnsi="LindeDaxOffice Medium"/>
          <w:b/>
          <w:bCs/>
          <w:color w:val="000000" w:themeColor="text1"/>
        </w:rPr>
        <w:t xml:space="preserve">ia de </w:t>
      </w:r>
      <w:r w:rsidR="001F45AA" w:rsidRPr="009E4DAF">
        <w:rPr>
          <w:rFonts w:ascii="LindeDaxOffice Medium" w:hAnsi="LindeDaxOffice Medium"/>
          <w:b/>
          <w:bCs/>
          <w:color w:val="000000" w:themeColor="text1"/>
        </w:rPr>
        <w:t>Administração</w:t>
      </w:r>
      <w:r w:rsidR="00E82BFC" w:rsidRPr="009E4DAF">
        <w:rPr>
          <w:rFonts w:ascii="LindeDaxOffice Medium" w:hAnsi="LindeDaxOffice Medium"/>
          <w:b/>
          <w:bCs/>
          <w:color w:val="000000" w:themeColor="text1"/>
        </w:rPr>
        <w:t xml:space="preserve">: </w:t>
      </w:r>
      <w:r w:rsidR="00E82BFC" w:rsidRPr="009E4DAF">
        <w:rPr>
          <w:rFonts w:ascii="LindeDaxOffice Medium" w:hAnsi="LindeDaxOffice Medium"/>
          <w:color w:val="000000" w:themeColor="text1"/>
        </w:rPr>
        <w:t>Via inalatória, através de equipamentos de ventilação mecânica e/ou de anestesia ou através de máscaras específicas, cateteres e nebulizadores, sempre sob orientação médica.</w:t>
      </w:r>
    </w:p>
    <w:p w14:paraId="3E0A0594" w14:textId="3DBAF99F" w:rsidR="003847C7" w:rsidRPr="009E4DAF" w:rsidRDefault="00632AEB" w:rsidP="003847C7">
      <w:pPr>
        <w:rPr>
          <w:rFonts w:ascii="LindeDaxOffice Medium" w:hAnsi="LindeDaxOffice Medium"/>
          <w:color w:val="000000" w:themeColor="text1"/>
        </w:rPr>
      </w:pPr>
      <w:r>
        <w:rPr>
          <w:rFonts w:ascii="LindeDaxOffice Medium" w:hAnsi="LindeDaxOffice Medium"/>
          <w:b/>
          <w:bCs/>
          <w:color w:val="000000" w:themeColor="text1"/>
        </w:rPr>
        <w:t xml:space="preserve">Número de </w:t>
      </w:r>
      <w:r w:rsidR="00CB6FBD">
        <w:rPr>
          <w:rFonts w:ascii="LindeDaxOffice Medium" w:hAnsi="LindeDaxOffice Medium"/>
          <w:b/>
          <w:bCs/>
          <w:color w:val="000000" w:themeColor="text1"/>
        </w:rPr>
        <w:t>L</w:t>
      </w:r>
      <w:r w:rsidR="00CB6FBD" w:rsidRPr="009E4DAF">
        <w:rPr>
          <w:rFonts w:ascii="LindeDaxOffice Medium" w:hAnsi="LindeDaxOffice Medium"/>
          <w:b/>
          <w:bCs/>
          <w:color w:val="000000" w:themeColor="text1"/>
        </w:rPr>
        <w:t xml:space="preserve">ote e </w:t>
      </w:r>
      <w:r w:rsidR="001F45AA" w:rsidRPr="009E4DAF">
        <w:rPr>
          <w:rFonts w:ascii="LindeDaxOffice Medium" w:hAnsi="LindeDaxOffice Medium"/>
          <w:b/>
          <w:bCs/>
          <w:color w:val="000000" w:themeColor="text1"/>
        </w:rPr>
        <w:t xml:space="preserve">Data </w:t>
      </w:r>
      <w:r w:rsidR="00CB6FBD" w:rsidRPr="009E4DAF">
        <w:rPr>
          <w:rFonts w:ascii="LindeDaxOffice Medium" w:hAnsi="LindeDaxOffice Medium"/>
          <w:b/>
          <w:bCs/>
          <w:color w:val="000000" w:themeColor="text1"/>
        </w:rPr>
        <w:t xml:space="preserve">de </w:t>
      </w:r>
      <w:r w:rsidR="001F45AA" w:rsidRPr="009E4DAF">
        <w:rPr>
          <w:rFonts w:ascii="LindeDaxOffice Medium" w:hAnsi="LindeDaxOffice Medium"/>
          <w:b/>
          <w:bCs/>
          <w:color w:val="000000" w:themeColor="text1"/>
        </w:rPr>
        <w:t>Fabricação</w:t>
      </w:r>
      <w:r w:rsidR="003847C7" w:rsidRPr="009E4DAF">
        <w:rPr>
          <w:rFonts w:ascii="LindeDaxOffice Medium" w:hAnsi="LindeDaxOffice Medium"/>
          <w:b/>
          <w:bCs/>
          <w:color w:val="000000" w:themeColor="text1"/>
        </w:rPr>
        <w:t>:</w:t>
      </w:r>
      <w:r w:rsidR="003847C7" w:rsidRPr="009E4DAF">
        <w:rPr>
          <w:rFonts w:ascii="LindeDaxOffice Medium" w:hAnsi="LindeDaxOffice Medium"/>
          <w:color w:val="000000" w:themeColor="text1"/>
        </w:rPr>
        <w:t xml:space="preserve"> Consultar etiqueta adicional.</w:t>
      </w:r>
    </w:p>
    <w:p w14:paraId="5472345D" w14:textId="51ED246D" w:rsidR="00BF7236" w:rsidRPr="009E4DAF" w:rsidRDefault="00CB6FBD" w:rsidP="00BF7236">
      <w:pPr>
        <w:jc w:val="both"/>
        <w:rPr>
          <w:rFonts w:ascii="LindeDaxOffice Medium" w:hAnsi="LindeDaxOffice Medium"/>
          <w:color w:val="000000" w:themeColor="text1"/>
        </w:rPr>
      </w:pPr>
      <w:r>
        <w:rPr>
          <w:rFonts w:ascii="LindeDaxOffice Medium" w:hAnsi="LindeDaxOffice Medium"/>
          <w:b/>
          <w:bCs/>
          <w:color w:val="000000" w:themeColor="text1"/>
        </w:rPr>
        <w:t>P</w:t>
      </w:r>
      <w:r w:rsidRPr="009E4DAF">
        <w:rPr>
          <w:rFonts w:ascii="LindeDaxOffice Medium" w:hAnsi="LindeDaxOffice Medium"/>
          <w:b/>
          <w:bCs/>
          <w:color w:val="000000" w:themeColor="text1"/>
        </w:rPr>
        <w:t xml:space="preserve">razo de </w:t>
      </w:r>
      <w:r w:rsidR="00632AEB">
        <w:rPr>
          <w:rFonts w:ascii="LindeDaxOffice Medium" w:hAnsi="LindeDaxOffice Medium"/>
          <w:b/>
          <w:bCs/>
          <w:color w:val="000000" w:themeColor="text1"/>
        </w:rPr>
        <w:t>V</w:t>
      </w:r>
      <w:r w:rsidRPr="009E4DAF">
        <w:rPr>
          <w:rFonts w:ascii="LindeDaxOffice Medium" w:hAnsi="LindeDaxOffice Medium"/>
          <w:b/>
          <w:bCs/>
          <w:color w:val="000000" w:themeColor="text1"/>
        </w:rPr>
        <w:t>alidade</w:t>
      </w:r>
      <w:r w:rsidR="00BF7236" w:rsidRPr="009E4DAF">
        <w:rPr>
          <w:rFonts w:ascii="LindeDaxOffice Medium" w:hAnsi="LindeDaxOffice Medium"/>
          <w:b/>
          <w:bCs/>
          <w:color w:val="000000" w:themeColor="text1"/>
        </w:rPr>
        <w:t>:</w:t>
      </w:r>
      <w:r w:rsidR="00BF7236" w:rsidRPr="009E4DAF">
        <w:rPr>
          <w:rFonts w:ascii="LindeDaxOffice Medium" w:hAnsi="LindeDaxOffice Medium"/>
          <w:color w:val="000000" w:themeColor="text1"/>
        </w:rPr>
        <w:t xml:space="preserve"> </w:t>
      </w:r>
      <w:r w:rsidR="006B62B3">
        <w:rPr>
          <w:rFonts w:ascii="LindeDaxOffice Medium" w:hAnsi="LindeDaxOffice Medium"/>
          <w:color w:val="000000" w:themeColor="text1"/>
        </w:rPr>
        <w:t>30 dias</w:t>
      </w:r>
      <w:r w:rsidR="007E1113">
        <w:rPr>
          <w:rFonts w:ascii="LindeDaxOffice Medium" w:hAnsi="LindeDaxOffice Medium"/>
          <w:color w:val="000000" w:themeColor="text1"/>
        </w:rPr>
        <w:t xml:space="preserve"> a partir da data de fabricação</w:t>
      </w:r>
      <w:r w:rsidR="00BF7236" w:rsidRPr="009E4DAF">
        <w:rPr>
          <w:rFonts w:ascii="LindeDaxOffice Medium" w:hAnsi="LindeDaxOffice Medium"/>
          <w:color w:val="000000" w:themeColor="text1"/>
        </w:rPr>
        <w:t>.</w:t>
      </w:r>
    </w:p>
    <w:p w14:paraId="6BAB8465" w14:textId="77777777" w:rsidR="003F671E" w:rsidRPr="009E4DAF" w:rsidRDefault="003F671E" w:rsidP="003F671E">
      <w:pPr>
        <w:jc w:val="both"/>
        <w:rPr>
          <w:rFonts w:ascii="LindeDaxOffice Medium" w:hAnsi="LindeDaxOffice Medium"/>
          <w:color w:val="000000" w:themeColor="text1"/>
        </w:rPr>
      </w:pPr>
      <w:r w:rsidRPr="009E4DAF">
        <w:rPr>
          <w:rFonts w:ascii="LindeDaxOffice Medium" w:hAnsi="LindeDaxOffice Medium"/>
          <w:b/>
          <w:bCs/>
          <w:color w:val="000000" w:themeColor="text1"/>
        </w:rPr>
        <w:t>Indicações:</w:t>
      </w:r>
      <w:r w:rsidRPr="009E4DAF">
        <w:rPr>
          <w:rFonts w:ascii="LindeDaxOffice Medium" w:hAnsi="LindeDaxOffice Medium"/>
          <w:color w:val="000000" w:themeColor="text1"/>
        </w:rPr>
        <w:t xml:space="preserve"> Prevenção e tratamento de deficiências agudas e crônicas de oxigênio. Como coadjuvante no tratamento de dificuldades respiratórias e aumento do esforço cardíaco. Como componente no fluxo de gás para a inalação de outros medicamentos. Como suporte ventilatório em procedimentos de ventilação mecânica. Como gás de inalação ou de preenchimento da câmara monopaciente na oxigenoterapia hiperbárica.</w:t>
      </w:r>
    </w:p>
    <w:p w14:paraId="2E030297" w14:textId="77777777" w:rsidR="003F671E" w:rsidRPr="009E4DAF" w:rsidRDefault="003F671E" w:rsidP="003F671E">
      <w:pPr>
        <w:jc w:val="both"/>
        <w:rPr>
          <w:rFonts w:ascii="LindeDaxOffice Medium" w:hAnsi="LindeDaxOffice Medium"/>
          <w:color w:val="000000" w:themeColor="text1"/>
        </w:rPr>
      </w:pPr>
      <w:r w:rsidRPr="009E4DAF">
        <w:rPr>
          <w:rFonts w:ascii="LindeDaxOffice Medium" w:hAnsi="LindeDaxOffice Medium"/>
          <w:b/>
          <w:bCs/>
          <w:color w:val="000000" w:themeColor="text1"/>
        </w:rPr>
        <w:t xml:space="preserve">Contraindicações: </w:t>
      </w:r>
      <w:r w:rsidRPr="009E4DAF">
        <w:rPr>
          <w:rFonts w:ascii="LindeDaxOffice Medium" w:hAnsi="LindeDaxOffice Medium"/>
          <w:color w:val="000000" w:themeColor="text1"/>
        </w:rPr>
        <w:t>Pacientes com resposta ventilatória desfavorável à oxigenoterapia.</w:t>
      </w:r>
    </w:p>
    <w:p w14:paraId="405B7AC5" w14:textId="62C72695" w:rsidR="00733B1D" w:rsidRDefault="00733B1D" w:rsidP="003F671E">
      <w:pPr>
        <w:jc w:val="both"/>
        <w:rPr>
          <w:rFonts w:ascii="LindeDaxOffice Medium" w:hAnsi="LindeDaxOffice Medium"/>
          <w:b/>
          <w:bCs/>
          <w:color w:val="000000" w:themeColor="text1"/>
        </w:rPr>
      </w:pPr>
      <w:r w:rsidRPr="00733B1D">
        <w:rPr>
          <w:rFonts w:ascii="LindeDaxOffice Medium" w:hAnsi="LindeDaxOffice Medium"/>
          <w:b/>
          <w:bCs/>
          <w:color w:val="000000" w:themeColor="text1"/>
        </w:rPr>
        <w:t xml:space="preserve">Perigo: </w:t>
      </w:r>
      <w:r w:rsidRPr="00733B1D">
        <w:rPr>
          <w:rFonts w:ascii="LindeDaxOffice Medium" w:hAnsi="LindeDaxOffice Medium"/>
          <w:color w:val="000000" w:themeColor="text1"/>
        </w:rPr>
        <w:t>Pode provocar ou agravar um incêndio, comburente/oxidante; contém gás refrigerado: pode causar queimaduras ou lesões criogênicas; mantenha afastado de vestimentas e outros materiais combustíveis; mantenha válvulas e conexões isentas de óleo e graxa; use luvas de proteção contra o frio e equipamento de proteção facial ou ocular; em caso de queimaduras procure imediatamente orientação médica ou atendimento médico; descongele, com água morna, as áreas afetadas e não esfregue; em caso de incêndio, contenha o vazamento apenas se puder ser feito com segurança; armazene em local bem ventilado.</w:t>
      </w:r>
    </w:p>
    <w:p w14:paraId="448723E9" w14:textId="114287AC" w:rsidR="003F671E" w:rsidRPr="009E4DAF" w:rsidRDefault="003F671E" w:rsidP="003F671E">
      <w:pPr>
        <w:jc w:val="both"/>
        <w:rPr>
          <w:rFonts w:ascii="LindeDaxOffice Medium" w:hAnsi="LindeDaxOffice Medium"/>
          <w:color w:val="000000" w:themeColor="text1"/>
        </w:rPr>
      </w:pPr>
      <w:r w:rsidRPr="009E4DAF">
        <w:rPr>
          <w:rFonts w:ascii="LindeDaxOffice Medium" w:hAnsi="LindeDaxOffice Medium"/>
          <w:b/>
          <w:bCs/>
          <w:color w:val="000000" w:themeColor="text1"/>
        </w:rPr>
        <w:t xml:space="preserve">Precauções: </w:t>
      </w:r>
      <w:r w:rsidRPr="009E4DAF">
        <w:rPr>
          <w:rFonts w:ascii="LindeDaxOffice Medium" w:hAnsi="LindeDaxOffice Medium"/>
          <w:color w:val="000000" w:themeColor="text1"/>
        </w:rPr>
        <w:t>No uso do oxigênio medicinal na oxigenoterapia hiperbárica, deve-se observar os riscos inerentes ao procedimento. A exposição prolongada a altas concentrações pode gerar radicais livres e inflamação, podendo causar disfunção pulmonar, depressão respiratória, e, posteriormente, retenção de dióxido de carbono. Ao ajustar as configurações do fluxo de oxigênio acima do prescrito sem o conhecimento médico caso ocorra hipóxia (por alguma doença associada ou subdosagem do produto) verifique se o suprimento de oxigênio está adequado e procure assistência médica imediata.  A exposição a altas concentrações de oxigênio pode resultar em efeitos no sistema nervoso central (SNC), como vertigem e sonolência, portanto altas concentrações devem ser administradas apenas pelo tempo mínimo necessário para alcançar o resultado clínico desejado.  Antes de qualquer utilização, certifique-se de que resta quantidade suficiente de produto para permitir a conclusão da administração planejada. Utilize apenas dispositivos compatíveis e normalizados, concebidos para a administração do medicamento. O oxigênio acelera vigorosamente a combustão quando em contato com materiais combustíveis ou fontes de ignição. Esse risco é maior em procedimentos de diatermia e desfibrilação com conversão elétrica. Não fume ou use chamas ou carregue cigarros eletrônicos próximo a pacientes utilizando o produto. Nunca coloque máscara ou cânula nasais diretamente sobre tecido durante o uso, pois podem ficar saturados com oxigênio e ser altamente inflamáveis, causando risco de incêndio. Caso ocorra, agite bem e areje os tecidos. Para maiores informações ou detalhes consulte o fabricante.</w:t>
      </w:r>
    </w:p>
    <w:p w14:paraId="0F797F4F" w14:textId="77777777" w:rsidR="003F671E" w:rsidRPr="009E4DAF" w:rsidRDefault="003F671E" w:rsidP="003F671E">
      <w:pPr>
        <w:jc w:val="both"/>
        <w:rPr>
          <w:rFonts w:ascii="LindeDaxOffice Medium" w:hAnsi="LindeDaxOffice Medium"/>
          <w:color w:val="000000" w:themeColor="text1"/>
        </w:rPr>
      </w:pPr>
      <w:r w:rsidRPr="009E4DAF">
        <w:rPr>
          <w:rFonts w:ascii="LindeDaxOffice Medium" w:hAnsi="LindeDaxOffice Medium"/>
          <w:b/>
          <w:bCs/>
          <w:color w:val="000000" w:themeColor="text1"/>
        </w:rPr>
        <w:t>Reações Adversas:</w:t>
      </w:r>
      <w:r w:rsidRPr="009E4DAF">
        <w:rPr>
          <w:rFonts w:ascii="LindeDaxOffice Medium" w:hAnsi="LindeDaxOffice Medium"/>
          <w:color w:val="000000" w:themeColor="text1"/>
        </w:rPr>
        <w:t xml:space="preserve"> O oxigênio medicinal, quando administrado em altas concentrações ou por um período prolongado de tempo, pode causar ressecamento de mucosas (nariz, boca e vias aéreas), dor, tosse seca e dificuldade ao respirar, além de lesões pulmonares e sistêmicas. Em recém-nascidos, altas concentrações de oxigênio medicinal também podem causar danos oculares, alterações hematológicas, cardíacas e cerebrais. </w:t>
      </w:r>
      <w:r w:rsidRPr="009E4DAF">
        <w:rPr>
          <w:rFonts w:ascii="LindeDaxOffice Medium" w:hAnsi="LindeDaxOffice Medium"/>
          <w:color w:val="000000" w:themeColor="text1"/>
        </w:rPr>
        <w:lastRenderedPageBreak/>
        <w:t>Em pacientes com doença obstrutiva pulmonar crônica (DPOC), a administração excessiva de oxigênio medicinal pode levar a falência respiratória por hipercapnia.</w:t>
      </w:r>
    </w:p>
    <w:p w14:paraId="4315AF20" w14:textId="77777777" w:rsidR="003F671E" w:rsidRPr="009E4DAF" w:rsidRDefault="003F671E" w:rsidP="003F671E">
      <w:pPr>
        <w:jc w:val="both"/>
        <w:rPr>
          <w:rFonts w:ascii="LindeDaxOffice Medium" w:hAnsi="LindeDaxOffice Medium"/>
          <w:color w:val="000000" w:themeColor="text1"/>
        </w:rPr>
      </w:pPr>
      <w:r w:rsidRPr="009E4DAF">
        <w:rPr>
          <w:rFonts w:ascii="LindeDaxOffice Medium" w:hAnsi="LindeDaxOffice Medium"/>
          <w:b/>
          <w:bCs/>
          <w:color w:val="000000" w:themeColor="text1"/>
        </w:rPr>
        <w:t>Interações Medicamentosas:</w:t>
      </w:r>
      <w:r w:rsidRPr="009E4DAF">
        <w:rPr>
          <w:rFonts w:ascii="LindeDaxOffice Medium" w:hAnsi="LindeDaxOffice Medium"/>
          <w:color w:val="000000" w:themeColor="text1"/>
        </w:rPr>
        <w:t xml:space="preserve">  Administração de oxigênio medicinal em altas concentrações pode aumentar o risco de toxicidade pulmonar em pacientes que utilizam amiodarona, bleomicina, nitrofurantoína ou outros antibióticos desta classe.</w:t>
      </w:r>
    </w:p>
    <w:p w14:paraId="52E5909C" w14:textId="5C1615BB" w:rsidR="00A43AEA" w:rsidRPr="009E4DAF" w:rsidRDefault="00CB6FBD" w:rsidP="00AB48C6">
      <w:pPr>
        <w:jc w:val="both"/>
        <w:rPr>
          <w:rFonts w:ascii="LindeDaxOffice Medium" w:hAnsi="LindeDaxOffice Medium"/>
          <w:color w:val="000000" w:themeColor="text1"/>
        </w:rPr>
      </w:pPr>
      <w:r>
        <w:rPr>
          <w:rFonts w:ascii="LindeDaxOffice Medium" w:hAnsi="LindeDaxOffice Medium"/>
          <w:b/>
          <w:bCs/>
          <w:color w:val="000000" w:themeColor="text1"/>
        </w:rPr>
        <w:t>L</w:t>
      </w:r>
      <w:r w:rsidRPr="009E4DAF">
        <w:rPr>
          <w:rFonts w:ascii="LindeDaxOffice Medium" w:hAnsi="LindeDaxOffice Medium"/>
          <w:b/>
          <w:bCs/>
          <w:color w:val="000000" w:themeColor="text1"/>
        </w:rPr>
        <w:t>inha de produção</w:t>
      </w:r>
      <w:r w:rsidR="00A43AEA" w:rsidRPr="009E4DAF">
        <w:rPr>
          <w:rFonts w:ascii="LindeDaxOffice Medium" w:hAnsi="LindeDaxOffice Medium"/>
          <w:b/>
          <w:bCs/>
          <w:color w:val="000000" w:themeColor="text1"/>
        </w:rPr>
        <w:t xml:space="preserve">: </w:t>
      </w:r>
      <w:r w:rsidR="00A43AEA" w:rsidRPr="009E4DAF">
        <w:rPr>
          <w:rFonts w:ascii="LindeDaxOffice Medium" w:hAnsi="LindeDaxOffice Medium"/>
          <w:color w:val="000000" w:themeColor="text1"/>
        </w:rPr>
        <w:t xml:space="preserve">Gás medicinal, </w:t>
      </w:r>
      <w:r w:rsidR="00663841" w:rsidRPr="009E4DAF">
        <w:rPr>
          <w:rFonts w:ascii="LindeDaxOffice Medium" w:hAnsi="LindeDaxOffice Medium"/>
          <w:color w:val="000000" w:themeColor="text1"/>
        </w:rPr>
        <w:t xml:space="preserve">líquido </w:t>
      </w:r>
      <w:r w:rsidR="00A43AEA" w:rsidRPr="009E4DAF">
        <w:rPr>
          <w:rFonts w:ascii="LindeDaxOffice Medium" w:hAnsi="LindeDaxOffice Medium"/>
          <w:color w:val="000000" w:themeColor="text1"/>
        </w:rPr>
        <w:t>criogênico. O oxigênio criogênico é azul pálido. Quando convertido em gás, o oxigênio é incolor, inodoro e sem sabor.</w:t>
      </w:r>
    </w:p>
    <w:p w14:paraId="7957ACB1" w14:textId="02E8475A" w:rsidR="005A37F7" w:rsidRPr="009E4DAF" w:rsidRDefault="00CB6FBD" w:rsidP="00AB48C6">
      <w:pPr>
        <w:jc w:val="both"/>
        <w:rPr>
          <w:rFonts w:ascii="LindeDaxOffice Medium" w:hAnsi="LindeDaxOffice Medium"/>
          <w:color w:val="000000" w:themeColor="text1"/>
        </w:rPr>
      </w:pPr>
      <w:r>
        <w:rPr>
          <w:rFonts w:ascii="LindeDaxOffice Medium" w:hAnsi="LindeDaxOffice Medium"/>
          <w:b/>
          <w:bCs/>
          <w:color w:val="000000" w:themeColor="text1"/>
        </w:rPr>
        <w:t>P</w:t>
      </w:r>
      <w:r w:rsidRPr="009E4DAF">
        <w:rPr>
          <w:rFonts w:ascii="LindeDaxOffice Medium" w:hAnsi="LindeDaxOffice Medium"/>
          <w:b/>
          <w:bCs/>
          <w:color w:val="000000" w:themeColor="text1"/>
        </w:rPr>
        <w:t xml:space="preserve">osologia e </w:t>
      </w:r>
      <w:r w:rsidR="005246EA" w:rsidRPr="009E4DAF">
        <w:rPr>
          <w:rFonts w:ascii="LindeDaxOffice Medium" w:hAnsi="LindeDaxOffice Medium"/>
          <w:b/>
          <w:bCs/>
          <w:color w:val="000000" w:themeColor="text1"/>
        </w:rPr>
        <w:t>Administração</w:t>
      </w:r>
      <w:r w:rsidR="005A37F7" w:rsidRPr="009E4DAF">
        <w:rPr>
          <w:rFonts w:ascii="LindeDaxOffice Medium" w:hAnsi="LindeDaxOffice Medium"/>
          <w:color w:val="000000" w:themeColor="text1"/>
        </w:rPr>
        <w:t xml:space="preserve">: </w:t>
      </w:r>
      <w:r w:rsidR="00723C45" w:rsidRPr="009E4DAF">
        <w:rPr>
          <w:rFonts w:ascii="LindeDaxOffice Medium" w:hAnsi="LindeDaxOffice Medium"/>
          <w:color w:val="000000" w:themeColor="text1"/>
        </w:rPr>
        <w:t>A concentração, o fluxo e o tempo de administração dos gases medicinais devem ser determinados pelo profissional de saúde habilitado de acordo com o procedimento realizado e o estado de saúde do paciente. Na administração dos gases medicinais por inalação deve-se assegurar quantidade adequada de oxigênio na mistura de acordo com o procedimento realizado e o estado de saúde do paciente, a fim de evitar asfixia. Para uso domiciliar, o paciente deve receber treinamento completo sobre o uso do gás medicinal e equipamentos.</w:t>
      </w:r>
    </w:p>
    <w:p w14:paraId="417EB417" w14:textId="39AE652C" w:rsidR="006035EF" w:rsidRPr="009E4DAF" w:rsidRDefault="005246EA" w:rsidP="008F6E67">
      <w:pPr>
        <w:jc w:val="both"/>
        <w:rPr>
          <w:rFonts w:ascii="LindeDaxOffice Medium" w:hAnsi="LindeDaxOffice Medium"/>
          <w:color w:val="000000" w:themeColor="text1"/>
        </w:rPr>
      </w:pPr>
      <w:r w:rsidRPr="009E4DAF">
        <w:rPr>
          <w:rFonts w:ascii="LindeDaxOffice Medium" w:hAnsi="LindeDaxOffice Medium"/>
          <w:b/>
          <w:bCs/>
          <w:color w:val="000000" w:themeColor="text1"/>
        </w:rPr>
        <w:t>Manuseio e Armazenamento</w:t>
      </w:r>
      <w:r w:rsidR="00E116B1" w:rsidRPr="009E4DAF">
        <w:rPr>
          <w:rFonts w:ascii="LindeDaxOffice Medium" w:hAnsi="LindeDaxOffice Medium"/>
          <w:b/>
          <w:bCs/>
          <w:color w:val="000000" w:themeColor="text1"/>
        </w:rPr>
        <w:t xml:space="preserve">: </w:t>
      </w:r>
      <w:r w:rsidR="008F6E67" w:rsidRPr="009E4DAF">
        <w:rPr>
          <w:rFonts w:ascii="LindeDaxOffice Medium" w:hAnsi="LindeDaxOffice Medium"/>
          <w:color w:val="000000" w:themeColor="text1"/>
        </w:rPr>
        <w:t>Os Recipientes criogênicos devem ser armazenados em temperaturas de -30°C a + 50°C, em área bem ventilada e coberta, específica para gases medicinais, mantidos secos e limpos.</w:t>
      </w:r>
      <w:r w:rsidR="00A2135F" w:rsidRPr="009E4DAF">
        <w:rPr>
          <w:rFonts w:ascii="LindeDaxOffice Medium" w:hAnsi="LindeDaxOffice Medium"/>
          <w:color w:val="000000" w:themeColor="text1"/>
        </w:rPr>
        <w:t xml:space="preserve"> </w:t>
      </w:r>
      <w:r w:rsidR="007D7F24" w:rsidRPr="009E4DAF">
        <w:rPr>
          <w:rFonts w:ascii="LindeDaxOffice Medium" w:hAnsi="LindeDaxOffice Medium"/>
          <w:color w:val="000000" w:themeColor="text1"/>
        </w:rPr>
        <w:t>Não utilizar qualquer cilindro suspeito de ter sido exposto a temperaturas inferiores a -5°C, a menos que seja armazenado durante 48 horas, pelo menos, na posição horizontal, a uma temperatura entre + 10 e + 30°C.</w:t>
      </w:r>
      <w:r w:rsidR="008F6E67" w:rsidRPr="009E4DAF">
        <w:rPr>
          <w:rFonts w:ascii="LindeDaxOffice Medium" w:hAnsi="LindeDaxOffice Medium"/>
          <w:color w:val="000000" w:themeColor="text1"/>
        </w:rPr>
        <w:t xml:space="preserve"> </w:t>
      </w:r>
      <w:r w:rsidR="0058381A" w:rsidRPr="009E4DAF">
        <w:rPr>
          <w:rFonts w:ascii="LindeDaxOffice Medium" w:hAnsi="LindeDaxOffice Medium"/>
          <w:color w:val="000000" w:themeColor="text1"/>
        </w:rPr>
        <w:t xml:space="preserve">Mantenha os recipientes criogênicos longe de óleos, graxas e quaisquer materiais inflamáveis (não use creme para rosto ou mãos, batom etc) a, no mínimo, 7 metros de distância ou use uma barreira de material não combustível (corta fogo). </w:t>
      </w:r>
      <w:r w:rsidR="008F6E67" w:rsidRPr="009E4DAF">
        <w:rPr>
          <w:rFonts w:ascii="LindeDaxOffice Medium" w:hAnsi="LindeDaxOffice Medium"/>
          <w:color w:val="000000" w:themeColor="text1"/>
        </w:rPr>
        <w:t xml:space="preserve">Em caso de lubrificação de roscas de parafusos emperradas, verificar a compatibilidade dos produtos utilizados. Proteja contra golpes ou quedas. Recipientes de gases diferentes, cheios e vazios, devem ser armazenados separadamente, transportados </w:t>
      </w:r>
      <w:r w:rsidR="006A0B59" w:rsidRPr="009E4DAF">
        <w:rPr>
          <w:rFonts w:ascii="LindeDaxOffice Medium" w:hAnsi="LindeDaxOffice Medium"/>
          <w:color w:val="000000" w:themeColor="text1"/>
        </w:rPr>
        <w:t xml:space="preserve">em equipamentos adequados </w:t>
      </w:r>
      <w:r w:rsidR="008F6E67" w:rsidRPr="009E4DAF">
        <w:rPr>
          <w:rFonts w:ascii="LindeDaxOffice Medium" w:hAnsi="LindeDaxOffice Medium"/>
          <w:color w:val="000000" w:themeColor="text1"/>
        </w:rPr>
        <w:t>com as válvulas fechadas e possuir um lacre involado. Manusear sempre com as mãos limpas e sem gordura (não use creme para as mãos, etc). Nunca coloque máscara ou cânula nasais diretamente sobre tecido durante o uso, pois podem ficar saturados com oxigênio e ser altamente inflamáveis, causando risco de incêndio. Caso ocorra, agite bem e areje</w:t>
      </w:r>
      <w:r w:rsidR="001F7093" w:rsidRPr="009E4DAF">
        <w:rPr>
          <w:rFonts w:ascii="LindeDaxOffice Medium" w:hAnsi="LindeDaxOffice Medium"/>
          <w:strike/>
          <w:color w:val="000000" w:themeColor="text1"/>
        </w:rPr>
        <w:t>-os</w:t>
      </w:r>
      <w:r w:rsidR="001F7093" w:rsidRPr="009E4DAF">
        <w:rPr>
          <w:rFonts w:ascii="LindeDaxOffice Medium" w:hAnsi="LindeDaxOffice Medium"/>
          <w:color w:val="000000" w:themeColor="text1"/>
        </w:rPr>
        <w:t xml:space="preserve"> os tecidos</w:t>
      </w:r>
      <w:r w:rsidR="008F6E67" w:rsidRPr="009E4DAF">
        <w:rPr>
          <w:rFonts w:ascii="LindeDaxOffice Medium" w:hAnsi="LindeDaxOffice Medium"/>
          <w:color w:val="000000" w:themeColor="text1"/>
        </w:rPr>
        <w:t>. Antes de qualquer utilização, certifique-se de que resta quantidade suficiente de produto para permitir a conclusão da administração planejada. Utilize apenas dispositivos compatíveis e normalizados</w:t>
      </w:r>
      <w:r w:rsidR="00A673D2" w:rsidRPr="009E4DAF">
        <w:rPr>
          <w:rFonts w:ascii="LindeDaxOffice Medium" w:hAnsi="LindeDaxOffice Medium"/>
          <w:color w:val="000000" w:themeColor="text1"/>
        </w:rPr>
        <w:t xml:space="preserve">, </w:t>
      </w:r>
      <w:r w:rsidR="008F6E67" w:rsidRPr="009E4DAF">
        <w:rPr>
          <w:rFonts w:ascii="LindeDaxOffice Medium" w:hAnsi="LindeDaxOffice Medium"/>
          <w:color w:val="000000" w:themeColor="text1"/>
        </w:rPr>
        <w:t xml:space="preserve">concebidos para a administração do medicamento. </w:t>
      </w:r>
    </w:p>
    <w:p w14:paraId="7451FF20" w14:textId="77777777" w:rsidR="00BA5F44" w:rsidRPr="009E4DAF" w:rsidRDefault="00BA5F44" w:rsidP="00BA5F44">
      <w:pPr>
        <w:rPr>
          <w:rFonts w:ascii="LindeDaxOffice Medium" w:hAnsi="LindeDaxOffice Medium"/>
          <w:color w:val="000000" w:themeColor="text1"/>
        </w:rPr>
      </w:pPr>
      <w:r w:rsidRPr="009E4DAF">
        <w:rPr>
          <w:rFonts w:ascii="LindeDaxOffice Medium" w:hAnsi="LindeDaxOffice Medium"/>
          <w:color w:val="000000" w:themeColor="text1"/>
        </w:rPr>
        <w:t>Informe ao seu médico ou cirurgião-dentista o aparecimento de reações indesejáveis pelo uso do gás medicinal. Informe também à empresa através do seu serviço de atendimento.</w:t>
      </w:r>
    </w:p>
    <w:p w14:paraId="2F62AFD5" w14:textId="77777777" w:rsidR="00BA5F44" w:rsidRPr="009E4DAF" w:rsidRDefault="00BA5F44" w:rsidP="00BA5F44">
      <w:pPr>
        <w:rPr>
          <w:rFonts w:ascii="LindeDaxOffice Medium" w:hAnsi="LindeDaxOffice Medium"/>
          <w:color w:val="000000" w:themeColor="text1"/>
        </w:rPr>
      </w:pPr>
      <w:r w:rsidRPr="009E4DAF">
        <w:rPr>
          <w:rFonts w:ascii="LindeDaxOffice Medium" w:hAnsi="LindeDaxOffice Medium"/>
          <w:color w:val="000000" w:themeColor="text1"/>
        </w:rPr>
        <w:t>Em caso de dúvidas sobre o uso deste gás medicinal, procure orientação de um profissional de saúde.</w:t>
      </w:r>
    </w:p>
    <w:p w14:paraId="1F82869B" w14:textId="77777777" w:rsidR="00BA5F44" w:rsidRPr="009E4DAF" w:rsidRDefault="00BA5F44" w:rsidP="00BA5F44">
      <w:pPr>
        <w:rPr>
          <w:rFonts w:ascii="LindeDaxOffice Medium" w:hAnsi="LindeDaxOffice Medium"/>
          <w:color w:val="000000" w:themeColor="text1"/>
        </w:rPr>
      </w:pPr>
      <w:r w:rsidRPr="009E4DAF">
        <w:rPr>
          <w:rFonts w:ascii="LindeDaxOffice Medium" w:hAnsi="LindeDaxOffice Medium"/>
          <w:color w:val="000000" w:themeColor="text1"/>
        </w:rPr>
        <w:t>TODO MEDICAMENTO DEVE SER MANTIDO FORA DO ALCANCE DAS CRIANÇAS</w:t>
      </w:r>
    </w:p>
    <w:p w14:paraId="4B911926" w14:textId="77777777" w:rsidR="001F45AA" w:rsidRDefault="001F45AA" w:rsidP="001F45AA">
      <w:pPr>
        <w:rPr>
          <w:rFonts w:ascii="LindeDaxOffice Medium" w:hAnsi="LindeDaxOffice Medium"/>
          <w:color w:val="000000" w:themeColor="text1"/>
        </w:rPr>
      </w:pPr>
      <w:r w:rsidRPr="009E4DAF">
        <w:rPr>
          <w:rFonts w:ascii="LindeDaxOffice Medium" w:hAnsi="LindeDaxOffice Medium"/>
          <w:color w:val="000000" w:themeColor="text1"/>
        </w:rPr>
        <w:t>Uso sob prescrição médica. Produto exclusivamente de uso medicinal.</w:t>
      </w:r>
    </w:p>
    <w:p w14:paraId="2C325CD0" w14:textId="77777777" w:rsidR="001F45AA" w:rsidRPr="009E4DAF" w:rsidRDefault="001F45AA" w:rsidP="001F45AA">
      <w:pPr>
        <w:rPr>
          <w:rFonts w:ascii="LindeDaxOffice Medium" w:hAnsi="LindeDaxOffice Medium"/>
          <w:color w:val="000000" w:themeColor="text1"/>
        </w:rPr>
      </w:pPr>
      <w:r w:rsidRPr="009E4DAF">
        <w:rPr>
          <w:rFonts w:ascii="LindeDaxOffice Medium" w:hAnsi="LindeDaxOffice Medium"/>
          <w:color w:val="000000" w:themeColor="text1"/>
        </w:rPr>
        <w:t>Gás medicinal notificado conforme RDC nº 870, de 17 de maio de 2024.</w:t>
      </w:r>
    </w:p>
    <w:p w14:paraId="6E415EFF" w14:textId="55766965" w:rsidR="00CC28F6" w:rsidRPr="009E4DAF" w:rsidRDefault="00357BE2" w:rsidP="0077065B">
      <w:pPr>
        <w:rPr>
          <w:rFonts w:ascii="LindeDaxOffice Medium" w:hAnsi="LindeDaxOffice Medium"/>
          <w:color w:val="000000" w:themeColor="text1"/>
        </w:rPr>
      </w:pPr>
      <w:r w:rsidRPr="009E4DAF">
        <w:rPr>
          <w:rFonts w:ascii="LindeDaxOffice Medium" w:hAnsi="LindeDaxOffice Medium"/>
          <w:b/>
          <w:bCs/>
          <w:color w:val="000000" w:themeColor="text1"/>
        </w:rPr>
        <w:t xml:space="preserve">Notificado por: </w:t>
      </w:r>
      <w:r w:rsidRPr="009E4DAF">
        <w:rPr>
          <w:rFonts w:ascii="LindeDaxOffice Medium" w:hAnsi="LindeDaxOffice Medium"/>
          <w:color w:val="000000" w:themeColor="text1"/>
        </w:rPr>
        <w:t xml:space="preserve">White Martins Gases Industriais Ltda. CNPJ: </w:t>
      </w:r>
      <w:r w:rsidR="00F039C6" w:rsidRPr="00F039C6">
        <w:rPr>
          <w:rFonts w:ascii="LindeDaxOffice Medium" w:hAnsi="LindeDaxOffice Medium"/>
          <w:color w:val="000000" w:themeColor="text1"/>
        </w:rPr>
        <w:t>35.820.448/0007-21</w:t>
      </w:r>
      <w:r w:rsidR="005F7CA2">
        <w:rPr>
          <w:rFonts w:ascii="LindeDaxOffice Medium" w:hAnsi="LindeDaxOffice Medium"/>
          <w:color w:val="000000" w:themeColor="text1"/>
        </w:rPr>
        <w:t>,</w:t>
      </w:r>
      <w:r w:rsidRPr="009E4DAF">
        <w:rPr>
          <w:rFonts w:ascii="LindeDaxOffice Medium" w:hAnsi="LindeDaxOffice Medium"/>
          <w:b/>
          <w:bCs/>
          <w:color w:val="000000" w:themeColor="text1"/>
        </w:rPr>
        <w:t xml:space="preserve"> </w:t>
      </w:r>
      <w:r w:rsidR="0009548B" w:rsidRPr="00B8568F">
        <w:rPr>
          <w:rFonts w:ascii="LindeDaxOffice Medium" w:hAnsi="LindeDaxOffice Medium"/>
          <w:color w:val="000000" w:themeColor="text1"/>
        </w:rPr>
        <w:t>Rua Guianas</w:t>
      </w:r>
      <w:r w:rsidR="00B8568F" w:rsidRPr="00B8568F">
        <w:rPr>
          <w:rFonts w:ascii="LindeDaxOffice Medium" w:hAnsi="LindeDaxOffice Medium"/>
          <w:color w:val="000000" w:themeColor="text1"/>
        </w:rPr>
        <w:t>, 80</w:t>
      </w:r>
      <w:r w:rsidR="00476CD1">
        <w:rPr>
          <w:rFonts w:ascii="LindeDaxOffice Medium" w:hAnsi="LindeDaxOffice Medium"/>
          <w:color w:val="000000" w:themeColor="text1"/>
        </w:rPr>
        <w:t>,</w:t>
      </w:r>
      <w:r w:rsidR="00B8568F" w:rsidRPr="00B8568F">
        <w:rPr>
          <w:rFonts w:ascii="LindeDaxOffice Medium" w:hAnsi="LindeDaxOffice Medium"/>
          <w:color w:val="000000" w:themeColor="text1"/>
        </w:rPr>
        <w:t xml:space="preserve"> PARTE, </w:t>
      </w:r>
      <w:r w:rsidR="0009548B" w:rsidRPr="00B8568F">
        <w:rPr>
          <w:rFonts w:ascii="LindeDaxOffice Medium" w:hAnsi="LindeDaxOffice Medium"/>
          <w:color w:val="000000" w:themeColor="text1"/>
        </w:rPr>
        <w:t>Campos Eliseos</w:t>
      </w:r>
      <w:r w:rsidR="00B8568F" w:rsidRPr="00B8568F">
        <w:rPr>
          <w:rFonts w:ascii="LindeDaxOffice Medium" w:hAnsi="LindeDaxOffice Medium"/>
          <w:color w:val="000000" w:themeColor="text1"/>
        </w:rPr>
        <w:t xml:space="preserve">, </w:t>
      </w:r>
      <w:r w:rsidR="0009548B" w:rsidRPr="00381C30">
        <w:rPr>
          <w:rFonts w:ascii="LindeDaxOffice Medium" w:hAnsi="LindeDaxOffice Medium"/>
          <w:color w:val="000000" w:themeColor="text1"/>
        </w:rPr>
        <w:t xml:space="preserve">Duque </w:t>
      </w:r>
      <w:r w:rsidR="0009548B">
        <w:rPr>
          <w:rFonts w:ascii="LindeDaxOffice Medium" w:hAnsi="LindeDaxOffice Medium"/>
          <w:color w:val="000000" w:themeColor="text1"/>
        </w:rPr>
        <w:t>de</w:t>
      </w:r>
      <w:r w:rsidR="0009548B" w:rsidRPr="00381C30">
        <w:rPr>
          <w:rFonts w:ascii="LindeDaxOffice Medium" w:hAnsi="LindeDaxOffice Medium"/>
          <w:color w:val="000000" w:themeColor="text1"/>
        </w:rPr>
        <w:t xml:space="preserve"> Caxias-RJ</w:t>
      </w:r>
      <w:r w:rsidR="0009548B">
        <w:rPr>
          <w:rFonts w:ascii="LindeDaxOffice Medium" w:hAnsi="LindeDaxOffice Medium"/>
          <w:color w:val="000000" w:themeColor="text1"/>
        </w:rPr>
        <w:t>,</w:t>
      </w:r>
      <w:r w:rsidR="0009548B" w:rsidRPr="00B8568F">
        <w:rPr>
          <w:rFonts w:ascii="LindeDaxOffice Medium" w:hAnsi="LindeDaxOffice Medium"/>
          <w:color w:val="000000" w:themeColor="text1"/>
        </w:rPr>
        <w:t xml:space="preserve"> </w:t>
      </w:r>
      <w:r w:rsidR="00B8568F" w:rsidRPr="00B8568F">
        <w:rPr>
          <w:rFonts w:ascii="LindeDaxOffice Medium" w:hAnsi="LindeDaxOffice Medium"/>
          <w:color w:val="000000" w:themeColor="text1"/>
        </w:rPr>
        <w:t>CEP 25225-170</w:t>
      </w:r>
      <w:r w:rsidRPr="009E4DAF">
        <w:rPr>
          <w:rFonts w:ascii="LindeDaxOffice Medium" w:hAnsi="LindeDaxOffice Medium"/>
          <w:color w:val="000000" w:themeColor="text1"/>
        </w:rPr>
        <w:t>.</w:t>
      </w:r>
      <w:r w:rsidR="009D54C6" w:rsidRPr="009E4DAF">
        <w:rPr>
          <w:rFonts w:ascii="LindeDaxOffice Medium" w:hAnsi="LindeDaxOffice Medium"/>
          <w:color w:val="000000" w:themeColor="text1"/>
        </w:rPr>
        <w:t xml:space="preserve"> </w:t>
      </w:r>
      <w:r w:rsidR="009D54C6" w:rsidRPr="009E4DAF">
        <w:rPr>
          <w:rFonts w:ascii="LindeDaxOffice Medium" w:hAnsi="LindeDaxOffice Medium"/>
          <w:b/>
          <w:bCs/>
          <w:color w:val="000000" w:themeColor="text1"/>
        </w:rPr>
        <w:t>Envasado por:</w:t>
      </w:r>
      <w:r w:rsidR="009D54C6" w:rsidRPr="009E4DAF">
        <w:rPr>
          <w:rFonts w:ascii="LindeDaxOffice Medium" w:hAnsi="LindeDaxOffice Medium"/>
          <w:color w:val="000000" w:themeColor="text1"/>
        </w:rPr>
        <w:t xml:space="preserve"> Consultar etiqueta adicional.</w:t>
      </w:r>
      <w:r w:rsidR="0004006E" w:rsidRPr="009E4DAF">
        <w:rPr>
          <w:rFonts w:ascii="LindeDaxOffice Medium" w:hAnsi="LindeDaxOffice Medium"/>
          <w:color w:val="000000" w:themeColor="text1"/>
        </w:rPr>
        <w:t xml:space="preserve"> </w:t>
      </w:r>
      <w:r w:rsidR="00CC28F6" w:rsidRPr="009E4DAF">
        <w:rPr>
          <w:rFonts w:ascii="LindeDaxOffice Medium" w:hAnsi="LindeDaxOffice Medium"/>
          <w:b/>
          <w:bCs/>
          <w:color w:val="000000" w:themeColor="text1"/>
        </w:rPr>
        <w:t xml:space="preserve">Farmacêutico Responsável: </w:t>
      </w:r>
      <w:r w:rsidR="00CC28F6" w:rsidRPr="009E4DAF">
        <w:rPr>
          <w:rFonts w:ascii="LindeDaxOffice Medium" w:hAnsi="LindeDaxOffice Medium"/>
          <w:color w:val="000000" w:themeColor="text1"/>
        </w:rPr>
        <w:t>Patricia E. M Pinto Malheiros</w:t>
      </w:r>
      <w:r w:rsidR="00191EE5">
        <w:rPr>
          <w:rFonts w:ascii="LindeDaxOffice Medium" w:hAnsi="LindeDaxOffice Medium"/>
          <w:color w:val="000000" w:themeColor="text1"/>
        </w:rPr>
        <w:t>,</w:t>
      </w:r>
      <w:r w:rsidR="00CC28F6" w:rsidRPr="009E4DAF">
        <w:rPr>
          <w:rFonts w:ascii="LindeDaxOffice Medium" w:hAnsi="LindeDaxOffice Medium"/>
          <w:color w:val="000000" w:themeColor="text1"/>
        </w:rPr>
        <w:t xml:space="preserve"> CRF</w:t>
      </w:r>
      <w:r w:rsidR="00191EE5">
        <w:rPr>
          <w:rFonts w:ascii="LindeDaxOffice Medium" w:hAnsi="LindeDaxOffice Medium"/>
          <w:color w:val="000000" w:themeColor="text1"/>
        </w:rPr>
        <w:t>-</w:t>
      </w:r>
      <w:r w:rsidR="00CC28F6" w:rsidRPr="009E4DAF">
        <w:rPr>
          <w:rFonts w:ascii="LindeDaxOffice Medium" w:hAnsi="LindeDaxOffice Medium"/>
          <w:color w:val="000000" w:themeColor="text1"/>
        </w:rPr>
        <w:t>RJ</w:t>
      </w:r>
      <w:r w:rsidR="00191EE5">
        <w:rPr>
          <w:rFonts w:ascii="LindeDaxOffice Medium" w:hAnsi="LindeDaxOffice Medium"/>
          <w:color w:val="000000" w:themeColor="text1"/>
        </w:rPr>
        <w:t xml:space="preserve"> </w:t>
      </w:r>
      <w:r w:rsidR="00CC28F6" w:rsidRPr="009E4DAF">
        <w:rPr>
          <w:rFonts w:ascii="LindeDaxOffice Medium" w:hAnsi="LindeDaxOffice Medium"/>
          <w:color w:val="000000" w:themeColor="text1"/>
        </w:rPr>
        <w:t>7384</w:t>
      </w:r>
      <w:r w:rsidR="006C6B59">
        <w:rPr>
          <w:rFonts w:ascii="LindeDaxOffice Medium" w:hAnsi="LindeDaxOffice Medium"/>
          <w:color w:val="000000" w:themeColor="text1"/>
        </w:rPr>
        <w:t>.</w:t>
      </w:r>
    </w:p>
    <w:p w14:paraId="5F152ED5" w14:textId="3279936B" w:rsidR="00CC28F6" w:rsidRPr="009E4DAF" w:rsidRDefault="00EC58FD" w:rsidP="00D35F18">
      <w:pPr>
        <w:rPr>
          <w:rFonts w:ascii="LindeDaxOffice Medium" w:hAnsi="LindeDaxOffice Medium"/>
          <w:color w:val="000000" w:themeColor="text1"/>
        </w:rPr>
      </w:pPr>
      <w:r w:rsidRPr="009E4DAF">
        <w:rPr>
          <w:rFonts w:ascii="LindeDaxOffice Medium" w:hAnsi="LindeDaxOffice Medium"/>
          <w:b/>
          <w:bCs/>
          <w:color w:val="000000" w:themeColor="text1"/>
        </w:rPr>
        <w:t xml:space="preserve">Notificado por: </w:t>
      </w:r>
      <w:r w:rsidRPr="009E4DAF">
        <w:rPr>
          <w:rFonts w:ascii="LindeDaxOffice Medium" w:hAnsi="LindeDaxOffice Medium"/>
          <w:color w:val="000000" w:themeColor="text1"/>
        </w:rPr>
        <w:t xml:space="preserve">White Martins Gases Industriais do Nordeste Ltda. CNPJ: </w:t>
      </w:r>
      <w:r w:rsidR="00763728" w:rsidRPr="00763728">
        <w:rPr>
          <w:rFonts w:ascii="LindeDaxOffice Medium" w:hAnsi="LindeDaxOffice Medium"/>
          <w:color w:val="000000" w:themeColor="text1"/>
        </w:rPr>
        <w:t>24.380.578/0020-41</w:t>
      </w:r>
      <w:r w:rsidR="00331F1F">
        <w:rPr>
          <w:rFonts w:ascii="LindeDaxOffice Medium" w:hAnsi="LindeDaxOffice Medium"/>
          <w:color w:val="000000" w:themeColor="text1"/>
        </w:rPr>
        <w:t>,</w:t>
      </w:r>
      <w:r w:rsidRPr="009E4DAF">
        <w:rPr>
          <w:rFonts w:ascii="LindeDaxOffice Medium" w:hAnsi="LindeDaxOffice Medium"/>
          <w:color w:val="000000" w:themeColor="text1"/>
        </w:rPr>
        <w:t xml:space="preserve"> Rod. BR 101 Sul, </w:t>
      </w:r>
      <w:r w:rsidR="00845EE3" w:rsidRPr="00845EE3">
        <w:rPr>
          <w:rFonts w:ascii="LindeDaxOffice Medium" w:hAnsi="LindeDaxOffice Medium"/>
          <w:color w:val="000000" w:themeColor="text1"/>
        </w:rPr>
        <w:t>KM 84</w:t>
      </w:r>
      <w:r w:rsidR="00845EE3">
        <w:rPr>
          <w:rFonts w:ascii="LindeDaxOffice Medium" w:hAnsi="LindeDaxOffice Medium"/>
          <w:color w:val="000000" w:themeColor="text1"/>
        </w:rPr>
        <w:t>,</w:t>
      </w:r>
      <w:r w:rsidR="00845EE3" w:rsidRPr="00845EE3">
        <w:rPr>
          <w:rFonts w:ascii="LindeDaxOffice Medium" w:hAnsi="LindeDaxOffice Medium"/>
          <w:color w:val="000000" w:themeColor="text1"/>
        </w:rPr>
        <w:t xml:space="preserve"> Bloco 01</w:t>
      </w:r>
      <w:r w:rsidR="00845EE3">
        <w:rPr>
          <w:rFonts w:ascii="LindeDaxOffice Medium" w:hAnsi="LindeDaxOffice Medium"/>
          <w:color w:val="000000" w:themeColor="text1"/>
        </w:rPr>
        <w:t>,</w:t>
      </w:r>
      <w:r w:rsidR="00845EE3" w:rsidRPr="00845EE3">
        <w:rPr>
          <w:rFonts w:ascii="LindeDaxOffice Medium" w:hAnsi="LindeDaxOffice Medium"/>
          <w:color w:val="000000" w:themeColor="text1"/>
        </w:rPr>
        <w:t xml:space="preserve"> 02 </w:t>
      </w:r>
      <w:r w:rsidR="00845EE3">
        <w:rPr>
          <w:rFonts w:ascii="LindeDaxOffice Medium" w:hAnsi="LindeDaxOffice Medium"/>
          <w:color w:val="000000" w:themeColor="text1"/>
        </w:rPr>
        <w:t>e</w:t>
      </w:r>
      <w:r w:rsidR="00845EE3" w:rsidRPr="00845EE3">
        <w:rPr>
          <w:rFonts w:ascii="LindeDaxOffice Medium" w:hAnsi="LindeDaxOffice Medium"/>
          <w:color w:val="000000" w:themeColor="text1"/>
        </w:rPr>
        <w:t xml:space="preserve"> 04</w:t>
      </w:r>
      <w:r w:rsidR="00331F1F">
        <w:rPr>
          <w:rFonts w:ascii="LindeDaxOffice Medium" w:hAnsi="LindeDaxOffice Medium"/>
          <w:color w:val="000000" w:themeColor="text1"/>
        </w:rPr>
        <w:t>,</w:t>
      </w:r>
      <w:r w:rsidRPr="009E4DAF">
        <w:rPr>
          <w:rFonts w:ascii="LindeDaxOffice Medium" w:hAnsi="LindeDaxOffice Medium"/>
          <w:color w:val="000000" w:themeColor="text1"/>
        </w:rPr>
        <w:t xml:space="preserve"> CEP </w:t>
      </w:r>
      <w:r w:rsidR="00CB161E" w:rsidRPr="00CB161E">
        <w:rPr>
          <w:rFonts w:ascii="LindeDaxOffice Medium" w:hAnsi="LindeDaxOffice Medium"/>
          <w:color w:val="000000" w:themeColor="text1"/>
        </w:rPr>
        <w:t>54.335-000</w:t>
      </w:r>
      <w:r w:rsidR="00331F1F">
        <w:rPr>
          <w:rFonts w:ascii="LindeDaxOffice Medium" w:hAnsi="LindeDaxOffice Medium"/>
          <w:color w:val="000000" w:themeColor="text1"/>
        </w:rPr>
        <w:t>,</w:t>
      </w:r>
      <w:r w:rsidRPr="009E4DAF">
        <w:rPr>
          <w:rFonts w:ascii="LindeDaxOffice Medium" w:hAnsi="LindeDaxOffice Medium"/>
          <w:color w:val="000000" w:themeColor="text1"/>
        </w:rPr>
        <w:t xml:space="preserve"> Jaboatão dos Guararapes</w:t>
      </w:r>
      <w:r w:rsidR="00331F1F">
        <w:rPr>
          <w:rFonts w:ascii="LindeDaxOffice Medium" w:hAnsi="LindeDaxOffice Medium"/>
          <w:color w:val="000000" w:themeColor="text1"/>
        </w:rPr>
        <w:t>-</w:t>
      </w:r>
      <w:r w:rsidRPr="009E4DAF">
        <w:rPr>
          <w:rFonts w:ascii="LindeDaxOffice Medium" w:hAnsi="LindeDaxOffice Medium"/>
          <w:color w:val="000000" w:themeColor="text1"/>
        </w:rPr>
        <w:t>PE</w:t>
      </w:r>
      <w:r w:rsidR="009616BF" w:rsidRPr="009E4DAF">
        <w:rPr>
          <w:rFonts w:ascii="LindeDaxOffice Medium" w:hAnsi="LindeDaxOffice Medium"/>
          <w:color w:val="000000" w:themeColor="text1"/>
        </w:rPr>
        <w:t xml:space="preserve">. </w:t>
      </w:r>
      <w:r w:rsidRPr="009E4DAF">
        <w:rPr>
          <w:rFonts w:ascii="LindeDaxOffice Medium" w:hAnsi="LindeDaxOffice Medium"/>
          <w:b/>
          <w:bCs/>
          <w:color w:val="000000" w:themeColor="text1"/>
        </w:rPr>
        <w:t>Envasado por:</w:t>
      </w:r>
      <w:r w:rsidRPr="009E4DAF">
        <w:rPr>
          <w:rFonts w:ascii="LindeDaxOffice Medium" w:hAnsi="LindeDaxOffice Medium"/>
          <w:color w:val="000000" w:themeColor="text1"/>
        </w:rPr>
        <w:t xml:space="preserve"> Consultar etiqueta adicional. </w:t>
      </w:r>
      <w:r w:rsidR="00CC28F6" w:rsidRPr="009E4DAF">
        <w:rPr>
          <w:rFonts w:ascii="LindeDaxOffice Medium" w:hAnsi="LindeDaxOffice Medium"/>
          <w:b/>
          <w:bCs/>
          <w:color w:val="000000" w:themeColor="text1"/>
        </w:rPr>
        <w:t xml:space="preserve">Farmacêutico Responsável: </w:t>
      </w:r>
      <w:r w:rsidR="00CC28F6" w:rsidRPr="009E4DAF">
        <w:rPr>
          <w:rFonts w:ascii="LindeDaxOffice Medium" w:hAnsi="LindeDaxOffice Medium"/>
          <w:color w:val="000000" w:themeColor="text1"/>
        </w:rPr>
        <w:t>Simone T. N. Pernambuco</w:t>
      </w:r>
      <w:r w:rsidR="00331F1F">
        <w:rPr>
          <w:rFonts w:ascii="LindeDaxOffice Medium" w:hAnsi="LindeDaxOffice Medium"/>
          <w:color w:val="000000" w:themeColor="text1"/>
        </w:rPr>
        <w:t>,</w:t>
      </w:r>
      <w:r w:rsidR="00CC28F6" w:rsidRPr="009E4DAF">
        <w:rPr>
          <w:rFonts w:ascii="LindeDaxOffice Medium" w:hAnsi="LindeDaxOffice Medium"/>
          <w:color w:val="000000" w:themeColor="text1"/>
        </w:rPr>
        <w:t xml:space="preserve"> CRF</w:t>
      </w:r>
      <w:r w:rsidR="00331F1F">
        <w:rPr>
          <w:rFonts w:ascii="LindeDaxOffice Medium" w:hAnsi="LindeDaxOffice Medium"/>
          <w:color w:val="000000" w:themeColor="text1"/>
        </w:rPr>
        <w:t>-</w:t>
      </w:r>
      <w:r w:rsidR="00CC28F6" w:rsidRPr="009E4DAF">
        <w:rPr>
          <w:rFonts w:ascii="LindeDaxOffice Medium" w:hAnsi="LindeDaxOffice Medium"/>
          <w:color w:val="000000" w:themeColor="text1"/>
        </w:rPr>
        <w:t>PE</w:t>
      </w:r>
      <w:r w:rsidR="00331F1F">
        <w:rPr>
          <w:rFonts w:ascii="LindeDaxOffice Medium" w:hAnsi="LindeDaxOffice Medium"/>
          <w:color w:val="000000" w:themeColor="text1"/>
        </w:rPr>
        <w:t xml:space="preserve"> </w:t>
      </w:r>
      <w:r w:rsidR="00CC28F6" w:rsidRPr="009E4DAF">
        <w:rPr>
          <w:rFonts w:ascii="LindeDaxOffice Medium" w:hAnsi="LindeDaxOffice Medium"/>
          <w:color w:val="000000" w:themeColor="text1"/>
        </w:rPr>
        <w:t>2914</w:t>
      </w:r>
      <w:r w:rsidR="00331F1F">
        <w:rPr>
          <w:rFonts w:ascii="LindeDaxOffice Medium" w:hAnsi="LindeDaxOffice Medium"/>
          <w:color w:val="000000" w:themeColor="text1"/>
        </w:rPr>
        <w:t>.</w:t>
      </w:r>
    </w:p>
    <w:p w14:paraId="0A424649" w14:textId="3AB6207B" w:rsidR="00AB564D" w:rsidRPr="009E4DAF" w:rsidRDefault="00D561E7" w:rsidP="00D35F18">
      <w:pPr>
        <w:rPr>
          <w:rFonts w:ascii="LindeDaxOffice Medium" w:hAnsi="LindeDaxOffice Medium"/>
          <w:b/>
          <w:bCs/>
          <w:color w:val="000000" w:themeColor="text1"/>
        </w:rPr>
      </w:pPr>
      <w:r w:rsidRPr="009E4DAF">
        <w:rPr>
          <w:rFonts w:ascii="LindeDaxOffice Medium" w:hAnsi="LindeDaxOffice Medium"/>
          <w:b/>
          <w:bCs/>
          <w:color w:val="000000" w:themeColor="text1"/>
        </w:rPr>
        <w:lastRenderedPageBreak/>
        <w:t xml:space="preserve">Notificado por: </w:t>
      </w:r>
      <w:r w:rsidRPr="009E4DAF">
        <w:rPr>
          <w:rFonts w:ascii="LindeDaxOffice Medium" w:hAnsi="LindeDaxOffice Medium"/>
          <w:color w:val="000000" w:themeColor="text1"/>
        </w:rPr>
        <w:t xml:space="preserve">White Martins Gases Industriais do Norte Ltda. CNPJ: </w:t>
      </w:r>
      <w:r w:rsidR="00DF40E2" w:rsidRPr="00DF40E2">
        <w:rPr>
          <w:rFonts w:ascii="LindeDaxOffice Medium" w:hAnsi="LindeDaxOffice Medium"/>
          <w:color w:val="000000" w:themeColor="text1"/>
        </w:rPr>
        <w:t>34.597.955/0013-23</w:t>
      </w:r>
      <w:r w:rsidR="00DF40E2">
        <w:rPr>
          <w:rFonts w:ascii="LindeDaxOffice Medium" w:hAnsi="LindeDaxOffice Medium"/>
          <w:color w:val="000000" w:themeColor="text1"/>
        </w:rPr>
        <w:t xml:space="preserve">, </w:t>
      </w:r>
      <w:r w:rsidRPr="009E4DAF">
        <w:rPr>
          <w:rFonts w:ascii="LindeDaxOffice Medium" w:hAnsi="LindeDaxOffice Medium"/>
          <w:color w:val="000000" w:themeColor="text1"/>
        </w:rPr>
        <w:t>Rod. Augusto Montenegro</w:t>
      </w:r>
      <w:r w:rsidR="00F710FB">
        <w:rPr>
          <w:rFonts w:ascii="LindeDaxOffice Medium" w:hAnsi="LindeDaxOffice Medium"/>
          <w:color w:val="000000" w:themeColor="text1"/>
        </w:rPr>
        <w:t>, s/n,</w:t>
      </w:r>
      <w:r w:rsidRPr="009E4DAF">
        <w:rPr>
          <w:rFonts w:ascii="LindeDaxOffice Medium" w:hAnsi="LindeDaxOffice Medium"/>
          <w:b/>
          <w:bCs/>
          <w:color w:val="000000" w:themeColor="text1"/>
        </w:rPr>
        <w:t xml:space="preserve"> </w:t>
      </w:r>
      <w:r w:rsidRPr="009E4DAF">
        <w:rPr>
          <w:rFonts w:ascii="LindeDaxOffice Medium" w:hAnsi="LindeDaxOffice Medium"/>
          <w:color w:val="000000" w:themeColor="text1"/>
        </w:rPr>
        <w:t xml:space="preserve">Km 12 </w:t>
      </w:r>
      <w:r w:rsidR="00F710FB">
        <w:rPr>
          <w:rFonts w:ascii="LindeDaxOffice Medium" w:hAnsi="LindeDaxOffice Medium"/>
          <w:color w:val="000000" w:themeColor="text1"/>
        </w:rPr>
        <w:t>PARTE</w:t>
      </w:r>
      <w:r w:rsidR="00472AD1">
        <w:rPr>
          <w:rFonts w:ascii="LindeDaxOffice Medium" w:hAnsi="LindeDaxOffice Medium"/>
          <w:color w:val="000000" w:themeColor="text1"/>
        </w:rPr>
        <w:t xml:space="preserve">, </w:t>
      </w:r>
      <w:r w:rsidRPr="009E4DAF">
        <w:rPr>
          <w:rFonts w:ascii="LindeDaxOffice Medium" w:hAnsi="LindeDaxOffice Medium"/>
          <w:color w:val="000000" w:themeColor="text1"/>
        </w:rPr>
        <w:t>Colônia Pinheiro</w:t>
      </w:r>
      <w:r w:rsidR="00472AD1">
        <w:rPr>
          <w:rFonts w:ascii="LindeDaxOffice Medium" w:hAnsi="LindeDaxOffice Medium"/>
          <w:color w:val="000000" w:themeColor="text1"/>
        </w:rPr>
        <w:t xml:space="preserve">, </w:t>
      </w:r>
      <w:r w:rsidRPr="009E4DAF">
        <w:rPr>
          <w:rFonts w:ascii="LindeDaxOffice Medium" w:hAnsi="LindeDaxOffice Medium"/>
          <w:color w:val="000000" w:themeColor="text1"/>
        </w:rPr>
        <w:t>Belém-PA</w:t>
      </w:r>
      <w:r w:rsidR="00472AD1">
        <w:rPr>
          <w:rFonts w:ascii="LindeDaxOffice Medium" w:hAnsi="LindeDaxOffice Medium"/>
          <w:color w:val="000000" w:themeColor="text1"/>
        </w:rPr>
        <w:t xml:space="preserve">, </w:t>
      </w:r>
      <w:r w:rsidR="00472AD1" w:rsidRPr="009E4DAF">
        <w:rPr>
          <w:rFonts w:ascii="LindeDaxOffice Medium" w:hAnsi="LindeDaxOffice Medium"/>
          <w:color w:val="000000" w:themeColor="text1"/>
        </w:rPr>
        <w:t>CEP 66</w:t>
      </w:r>
      <w:r w:rsidR="00472AD1">
        <w:rPr>
          <w:rFonts w:ascii="LindeDaxOffice Medium" w:hAnsi="LindeDaxOffice Medium"/>
          <w:color w:val="000000" w:themeColor="text1"/>
        </w:rPr>
        <w:t>.</w:t>
      </w:r>
      <w:r w:rsidR="00472AD1" w:rsidRPr="009E4DAF">
        <w:rPr>
          <w:rFonts w:ascii="LindeDaxOffice Medium" w:hAnsi="LindeDaxOffice Medium"/>
          <w:color w:val="000000" w:themeColor="text1"/>
        </w:rPr>
        <w:t>820-000</w:t>
      </w:r>
      <w:r w:rsidRPr="009E4DAF">
        <w:rPr>
          <w:rFonts w:ascii="LindeDaxOffice Medium" w:hAnsi="LindeDaxOffice Medium"/>
          <w:color w:val="000000" w:themeColor="text1"/>
        </w:rPr>
        <w:t xml:space="preserve">. </w:t>
      </w:r>
      <w:r w:rsidRPr="009E4DAF">
        <w:rPr>
          <w:rFonts w:ascii="LindeDaxOffice Medium" w:hAnsi="LindeDaxOffice Medium"/>
          <w:b/>
          <w:bCs/>
          <w:color w:val="000000" w:themeColor="text1"/>
        </w:rPr>
        <w:t>Envasado por:</w:t>
      </w:r>
      <w:r w:rsidRPr="009E4DAF">
        <w:rPr>
          <w:rFonts w:ascii="LindeDaxOffice Medium" w:hAnsi="LindeDaxOffice Medium"/>
          <w:color w:val="000000" w:themeColor="text1"/>
        </w:rPr>
        <w:t xml:space="preserve"> Consultar etiqueta adicional. </w:t>
      </w:r>
      <w:r w:rsidR="00CC28F6" w:rsidRPr="009E4DAF">
        <w:rPr>
          <w:rFonts w:ascii="LindeDaxOffice Medium" w:hAnsi="LindeDaxOffice Medium"/>
          <w:b/>
          <w:bCs/>
          <w:color w:val="000000" w:themeColor="text1"/>
        </w:rPr>
        <w:t xml:space="preserve">Farmacêutico Responsável: </w:t>
      </w:r>
      <w:r w:rsidR="00CC28F6" w:rsidRPr="006C6B59">
        <w:rPr>
          <w:rFonts w:ascii="LindeDaxOffice Medium" w:hAnsi="LindeDaxOffice Medium"/>
          <w:color w:val="000000" w:themeColor="text1"/>
        </w:rPr>
        <w:t>Jeily C. G. de Alcântara</w:t>
      </w:r>
      <w:r w:rsidR="006C6B59">
        <w:rPr>
          <w:rFonts w:ascii="LindeDaxOffice Medium" w:hAnsi="LindeDaxOffice Medium"/>
          <w:color w:val="000000" w:themeColor="text1"/>
        </w:rPr>
        <w:t>,</w:t>
      </w:r>
      <w:r w:rsidR="00CC28F6" w:rsidRPr="006C6B59">
        <w:rPr>
          <w:rFonts w:ascii="LindeDaxOffice Medium" w:hAnsi="LindeDaxOffice Medium"/>
          <w:color w:val="000000" w:themeColor="text1"/>
        </w:rPr>
        <w:t xml:space="preserve"> CRF</w:t>
      </w:r>
      <w:r w:rsidR="006C6B59">
        <w:rPr>
          <w:rFonts w:ascii="LindeDaxOffice Medium" w:hAnsi="LindeDaxOffice Medium"/>
          <w:color w:val="000000" w:themeColor="text1"/>
        </w:rPr>
        <w:t>-</w:t>
      </w:r>
      <w:r w:rsidR="00CC28F6" w:rsidRPr="006C6B59">
        <w:rPr>
          <w:rFonts w:ascii="LindeDaxOffice Medium" w:hAnsi="LindeDaxOffice Medium"/>
          <w:color w:val="000000" w:themeColor="text1"/>
        </w:rPr>
        <w:t>PA</w:t>
      </w:r>
      <w:r w:rsidR="006C6B59">
        <w:rPr>
          <w:rFonts w:ascii="LindeDaxOffice Medium" w:hAnsi="LindeDaxOffice Medium"/>
          <w:color w:val="000000" w:themeColor="text1"/>
        </w:rPr>
        <w:t xml:space="preserve"> </w:t>
      </w:r>
      <w:r w:rsidR="00CC28F6" w:rsidRPr="006C6B59">
        <w:rPr>
          <w:rFonts w:ascii="LindeDaxOffice Medium" w:hAnsi="LindeDaxOffice Medium"/>
          <w:color w:val="000000" w:themeColor="text1"/>
        </w:rPr>
        <w:t>3136</w:t>
      </w:r>
      <w:r w:rsidR="006C6B59">
        <w:rPr>
          <w:rFonts w:ascii="LindeDaxOffice Medium" w:hAnsi="LindeDaxOffice Medium"/>
          <w:color w:val="000000" w:themeColor="text1"/>
        </w:rPr>
        <w:t>.</w:t>
      </w:r>
    </w:p>
    <w:p w14:paraId="318CD208" w14:textId="77777777" w:rsidR="00FE17A8" w:rsidRDefault="001A75B4" w:rsidP="00C078EC">
      <w:pPr>
        <w:rPr>
          <w:rFonts w:ascii="LindeDaxOffice Medium" w:hAnsi="LindeDaxOffice Medium"/>
        </w:rPr>
      </w:pPr>
      <w:r w:rsidRPr="00E349C1">
        <w:rPr>
          <w:rFonts w:ascii="LindeDaxOffice Medium" w:hAnsi="LindeDaxOffice Medium"/>
        </w:rPr>
        <w:t xml:space="preserve">A Ficha de </w:t>
      </w:r>
      <w:r>
        <w:rPr>
          <w:rFonts w:ascii="LindeDaxOffice Medium" w:hAnsi="LindeDaxOffice Medium"/>
        </w:rPr>
        <w:t>Dados</w:t>
      </w:r>
      <w:r w:rsidRPr="00E349C1">
        <w:rPr>
          <w:rFonts w:ascii="LindeDaxOffice Medium" w:hAnsi="LindeDaxOffice Medium"/>
        </w:rPr>
        <w:t xml:space="preserve"> de Segurança </w:t>
      </w:r>
      <w:r>
        <w:rPr>
          <w:rFonts w:ascii="LindeDaxOffice Medium" w:hAnsi="LindeDaxOffice Medium"/>
        </w:rPr>
        <w:t xml:space="preserve">(FDS) </w:t>
      </w:r>
      <w:r w:rsidRPr="00E349C1">
        <w:rPr>
          <w:rFonts w:ascii="LindeDaxOffice Medium" w:hAnsi="LindeDaxOffice Medium"/>
        </w:rPr>
        <w:t xml:space="preserve">deste produto químico perigoso pode ser obtida </w:t>
      </w:r>
      <w:r w:rsidRPr="001A75B4">
        <w:rPr>
          <w:rFonts w:ascii="LindeDaxOffice Medium" w:hAnsi="LindeDaxOffice Medium"/>
        </w:rPr>
        <w:t>através da Central de Atendimento 0800 709-9000 ou www.whitemartins.com.br.</w:t>
      </w:r>
    </w:p>
    <w:p w14:paraId="75F8AF66" w14:textId="635E3E67" w:rsidR="00C078EC" w:rsidRPr="009E4DAF" w:rsidRDefault="001A75B4" w:rsidP="00C078EC">
      <w:pPr>
        <w:rPr>
          <w:rFonts w:ascii="LindeDaxOffice Medium" w:hAnsi="LindeDaxOffice Medium"/>
          <w:color w:val="000000" w:themeColor="text1"/>
        </w:rPr>
      </w:pPr>
      <w:r>
        <w:rPr>
          <w:rFonts w:ascii="LindeDaxOffice Medium" w:hAnsi="LindeDaxOffice Medium"/>
        </w:rPr>
        <w:t>Em</w:t>
      </w:r>
      <w:r w:rsidR="00AB62AB">
        <w:rPr>
          <w:rFonts w:ascii="LindeDaxOffice Medium" w:hAnsi="LindeDaxOffice Medium"/>
        </w:rPr>
        <w:t xml:space="preserve"> casos de em</w:t>
      </w:r>
      <w:r>
        <w:rPr>
          <w:rFonts w:ascii="LindeDaxOffice Medium" w:hAnsi="LindeDaxOffice Medium"/>
        </w:rPr>
        <w:t>ergências l</w:t>
      </w:r>
      <w:r w:rsidRPr="00E349C1">
        <w:rPr>
          <w:rFonts w:ascii="LindeDaxOffice Medium" w:hAnsi="LindeDaxOffice Medium"/>
        </w:rPr>
        <w:t>igue para 0800 709 9003</w:t>
      </w:r>
      <w:r>
        <w:rPr>
          <w:rFonts w:ascii="LindeDaxOffice Medium" w:hAnsi="LindeDaxOffice Medium"/>
        </w:rPr>
        <w:t>.</w:t>
      </w:r>
    </w:p>
    <w:p w14:paraId="619C6660" w14:textId="77777777" w:rsidR="006A684B" w:rsidRDefault="006A684B" w:rsidP="00CF3646">
      <w:pPr>
        <w:autoSpaceDE w:val="0"/>
        <w:autoSpaceDN w:val="0"/>
        <w:adjustRightInd w:val="0"/>
        <w:jc w:val="both"/>
        <w:rPr>
          <w:rFonts w:ascii="LindeDaxOffice Medium" w:hAnsi="LindeDaxOffice Medium"/>
          <w:b/>
          <w:caps/>
          <w:color w:val="000000"/>
          <w:sz w:val="24"/>
        </w:rPr>
      </w:pPr>
    </w:p>
    <w:p w14:paraId="38749958" w14:textId="77777777" w:rsidR="00AC223C" w:rsidRDefault="00AC223C" w:rsidP="00CF3646">
      <w:pPr>
        <w:autoSpaceDE w:val="0"/>
        <w:autoSpaceDN w:val="0"/>
        <w:adjustRightInd w:val="0"/>
        <w:jc w:val="both"/>
        <w:rPr>
          <w:rFonts w:ascii="LindeDaxOffice Medium" w:hAnsi="LindeDaxOffice Medium"/>
          <w:b/>
          <w:caps/>
          <w:color w:val="000000"/>
          <w:sz w:val="24"/>
        </w:rPr>
      </w:pPr>
    </w:p>
    <w:p w14:paraId="60F6B72E" w14:textId="77777777" w:rsidR="00AC223C" w:rsidRDefault="00AC223C" w:rsidP="00CF3646">
      <w:pPr>
        <w:autoSpaceDE w:val="0"/>
        <w:autoSpaceDN w:val="0"/>
        <w:adjustRightInd w:val="0"/>
        <w:jc w:val="both"/>
        <w:rPr>
          <w:rFonts w:ascii="LindeDaxOffice Medium" w:hAnsi="LindeDaxOffice Medium"/>
          <w:b/>
          <w:caps/>
          <w:color w:val="000000"/>
          <w:sz w:val="24"/>
        </w:rPr>
      </w:pPr>
    </w:p>
    <w:p w14:paraId="30D9964F" w14:textId="77777777" w:rsidR="00AC223C" w:rsidRDefault="00AC223C" w:rsidP="00CF3646">
      <w:pPr>
        <w:autoSpaceDE w:val="0"/>
        <w:autoSpaceDN w:val="0"/>
        <w:adjustRightInd w:val="0"/>
        <w:jc w:val="both"/>
        <w:rPr>
          <w:rFonts w:ascii="LindeDaxOffice Medium" w:hAnsi="LindeDaxOffice Medium"/>
          <w:b/>
          <w:caps/>
          <w:color w:val="000000"/>
          <w:sz w:val="24"/>
        </w:rPr>
      </w:pPr>
    </w:p>
    <w:p w14:paraId="0241DEAD" w14:textId="77777777" w:rsidR="00AC223C" w:rsidRDefault="00AC223C" w:rsidP="00CF3646">
      <w:pPr>
        <w:autoSpaceDE w:val="0"/>
        <w:autoSpaceDN w:val="0"/>
        <w:adjustRightInd w:val="0"/>
        <w:jc w:val="both"/>
        <w:rPr>
          <w:rFonts w:ascii="LindeDaxOffice Medium" w:hAnsi="LindeDaxOffice Medium"/>
          <w:b/>
          <w:caps/>
          <w:color w:val="000000"/>
          <w:sz w:val="24"/>
        </w:rPr>
      </w:pPr>
    </w:p>
    <w:p w14:paraId="3C1CF439" w14:textId="77777777" w:rsidR="00AC223C" w:rsidRDefault="00AC223C" w:rsidP="00CF3646">
      <w:pPr>
        <w:autoSpaceDE w:val="0"/>
        <w:autoSpaceDN w:val="0"/>
        <w:adjustRightInd w:val="0"/>
        <w:jc w:val="both"/>
        <w:rPr>
          <w:rFonts w:ascii="LindeDaxOffice Medium" w:hAnsi="LindeDaxOffice Medium"/>
          <w:b/>
          <w:caps/>
          <w:color w:val="000000"/>
          <w:sz w:val="24"/>
        </w:rPr>
      </w:pPr>
    </w:p>
    <w:p w14:paraId="3F0044A0" w14:textId="77777777" w:rsidR="00AC223C" w:rsidRDefault="00AC223C" w:rsidP="00CF3646">
      <w:pPr>
        <w:autoSpaceDE w:val="0"/>
        <w:autoSpaceDN w:val="0"/>
        <w:adjustRightInd w:val="0"/>
        <w:jc w:val="both"/>
        <w:rPr>
          <w:rFonts w:ascii="LindeDaxOffice Medium" w:hAnsi="LindeDaxOffice Medium"/>
          <w:b/>
          <w:caps/>
          <w:color w:val="000000"/>
          <w:sz w:val="24"/>
        </w:rPr>
      </w:pPr>
    </w:p>
    <w:p w14:paraId="53034F46" w14:textId="77777777" w:rsidR="00AC223C" w:rsidRDefault="00AC223C" w:rsidP="00CF3646">
      <w:pPr>
        <w:autoSpaceDE w:val="0"/>
        <w:autoSpaceDN w:val="0"/>
        <w:adjustRightInd w:val="0"/>
        <w:jc w:val="both"/>
        <w:rPr>
          <w:rFonts w:ascii="LindeDaxOffice Medium" w:hAnsi="LindeDaxOffice Medium"/>
          <w:b/>
          <w:caps/>
          <w:color w:val="000000"/>
          <w:sz w:val="24"/>
        </w:rPr>
      </w:pPr>
    </w:p>
    <w:p w14:paraId="7B5ED41A" w14:textId="77777777" w:rsidR="00AC223C" w:rsidRDefault="00AC223C" w:rsidP="00CF3646">
      <w:pPr>
        <w:autoSpaceDE w:val="0"/>
        <w:autoSpaceDN w:val="0"/>
        <w:adjustRightInd w:val="0"/>
        <w:jc w:val="both"/>
        <w:rPr>
          <w:rFonts w:ascii="LindeDaxOffice Medium" w:hAnsi="LindeDaxOffice Medium"/>
          <w:b/>
          <w:caps/>
          <w:color w:val="000000"/>
          <w:sz w:val="24"/>
        </w:rPr>
      </w:pPr>
    </w:p>
    <w:p w14:paraId="7F562A6E" w14:textId="77777777" w:rsidR="00AC223C" w:rsidRDefault="00AC223C" w:rsidP="00CF3646">
      <w:pPr>
        <w:autoSpaceDE w:val="0"/>
        <w:autoSpaceDN w:val="0"/>
        <w:adjustRightInd w:val="0"/>
        <w:jc w:val="both"/>
        <w:rPr>
          <w:rFonts w:ascii="LindeDaxOffice Medium" w:hAnsi="LindeDaxOffice Medium"/>
          <w:b/>
          <w:caps/>
          <w:color w:val="000000"/>
          <w:sz w:val="24"/>
        </w:rPr>
      </w:pPr>
    </w:p>
    <w:p w14:paraId="4061BF75" w14:textId="77777777" w:rsidR="00AC223C" w:rsidRDefault="00AC223C" w:rsidP="00CF3646">
      <w:pPr>
        <w:autoSpaceDE w:val="0"/>
        <w:autoSpaceDN w:val="0"/>
        <w:adjustRightInd w:val="0"/>
        <w:jc w:val="both"/>
        <w:rPr>
          <w:rFonts w:ascii="LindeDaxOffice Medium" w:hAnsi="LindeDaxOffice Medium"/>
          <w:b/>
          <w:caps/>
          <w:color w:val="000000"/>
          <w:sz w:val="24"/>
        </w:rPr>
      </w:pPr>
    </w:p>
    <w:p w14:paraId="2E4F3FB4" w14:textId="77777777" w:rsidR="00AC223C" w:rsidRDefault="00AC223C" w:rsidP="00CF3646">
      <w:pPr>
        <w:autoSpaceDE w:val="0"/>
        <w:autoSpaceDN w:val="0"/>
        <w:adjustRightInd w:val="0"/>
        <w:jc w:val="both"/>
        <w:rPr>
          <w:rFonts w:ascii="LindeDaxOffice Medium" w:hAnsi="LindeDaxOffice Medium"/>
          <w:b/>
          <w:caps/>
          <w:color w:val="000000"/>
          <w:sz w:val="24"/>
        </w:rPr>
      </w:pPr>
    </w:p>
    <w:p w14:paraId="3FAC3D57" w14:textId="77777777" w:rsidR="00AC223C" w:rsidRDefault="00AC223C" w:rsidP="00CF3646">
      <w:pPr>
        <w:autoSpaceDE w:val="0"/>
        <w:autoSpaceDN w:val="0"/>
        <w:adjustRightInd w:val="0"/>
        <w:jc w:val="both"/>
        <w:rPr>
          <w:rFonts w:ascii="LindeDaxOffice Medium" w:hAnsi="LindeDaxOffice Medium"/>
          <w:b/>
          <w:caps/>
          <w:color w:val="000000"/>
          <w:sz w:val="24"/>
        </w:rPr>
      </w:pPr>
    </w:p>
    <w:p w14:paraId="77216019" w14:textId="77777777" w:rsidR="00AC223C" w:rsidRDefault="00AC223C" w:rsidP="00CF3646">
      <w:pPr>
        <w:autoSpaceDE w:val="0"/>
        <w:autoSpaceDN w:val="0"/>
        <w:adjustRightInd w:val="0"/>
        <w:jc w:val="both"/>
        <w:rPr>
          <w:rFonts w:ascii="LindeDaxOffice Medium" w:hAnsi="LindeDaxOffice Medium"/>
          <w:b/>
          <w:caps/>
          <w:color w:val="000000"/>
          <w:sz w:val="24"/>
        </w:rPr>
      </w:pPr>
    </w:p>
    <w:p w14:paraId="3A873AAA" w14:textId="77777777" w:rsidR="00AC223C" w:rsidRDefault="00AC223C" w:rsidP="00CF3646">
      <w:pPr>
        <w:autoSpaceDE w:val="0"/>
        <w:autoSpaceDN w:val="0"/>
        <w:adjustRightInd w:val="0"/>
        <w:jc w:val="both"/>
        <w:rPr>
          <w:rFonts w:ascii="LindeDaxOffice Medium" w:hAnsi="LindeDaxOffice Medium"/>
          <w:b/>
          <w:caps/>
          <w:color w:val="000000"/>
          <w:sz w:val="24"/>
        </w:rPr>
      </w:pPr>
    </w:p>
    <w:p w14:paraId="34B47A8B" w14:textId="77777777" w:rsidR="00AC223C" w:rsidRDefault="00AC223C" w:rsidP="00CF3646">
      <w:pPr>
        <w:autoSpaceDE w:val="0"/>
        <w:autoSpaceDN w:val="0"/>
        <w:adjustRightInd w:val="0"/>
        <w:jc w:val="both"/>
        <w:rPr>
          <w:rFonts w:ascii="LindeDaxOffice Medium" w:hAnsi="LindeDaxOffice Medium"/>
          <w:b/>
          <w:caps/>
          <w:color w:val="000000"/>
          <w:sz w:val="24"/>
        </w:rPr>
      </w:pPr>
    </w:p>
    <w:p w14:paraId="1C9C2D28" w14:textId="77777777" w:rsidR="00AC223C" w:rsidRDefault="00AC223C" w:rsidP="00CF3646">
      <w:pPr>
        <w:autoSpaceDE w:val="0"/>
        <w:autoSpaceDN w:val="0"/>
        <w:adjustRightInd w:val="0"/>
        <w:jc w:val="both"/>
        <w:rPr>
          <w:rFonts w:ascii="LindeDaxOffice Medium" w:hAnsi="LindeDaxOffice Medium"/>
          <w:b/>
          <w:caps/>
          <w:color w:val="000000"/>
          <w:sz w:val="24"/>
        </w:rPr>
      </w:pPr>
    </w:p>
    <w:p w14:paraId="113B3973" w14:textId="77777777" w:rsidR="00AC223C" w:rsidRDefault="00AC223C" w:rsidP="00CF3646">
      <w:pPr>
        <w:autoSpaceDE w:val="0"/>
        <w:autoSpaceDN w:val="0"/>
        <w:adjustRightInd w:val="0"/>
        <w:jc w:val="both"/>
        <w:rPr>
          <w:rFonts w:ascii="LindeDaxOffice Medium" w:hAnsi="LindeDaxOffice Medium"/>
          <w:b/>
          <w:caps/>
          <w:color w:val="000000"/>
          <w:sz w:val="24"/>
        </w:rPr>
      </w:pPr>
    </w:p>
    <w:p w14:paraId="2EBD1B02" w14:textId="77777777" w:rsidR="00AC223C" w:rsidRDefault="00AC223C" w:rsidP="00CF3646">
      <w:pPr>
        <w:autoSpaceDE w:val="0"/>
        <w:autoSpaceDN w:val="0"/>
        <w:adjustRightInd w:val="0"/>
        <w:jc w:val="both"/>
        <w:rPr>
          <w:rFonts w:ascii="LindeDaxOffice Medium" w:hAnsi="LindeDaxOffice Medium"/>
          <w:b/>
          <w:caps/>
          <w:color w:val="000000"/>
          <w:sz w:val="24"/>
        </w:rPr>
      </w:pPr>
    </w:p>
    <w:p w14:paraId="579D45D8" w14:textId="77777777" w:rsidR="00AC223C" w:rsidRDefault="00AC223C" w:rsidP="00CF3646">
      <w:pPr>
        <w:autoSpaceDE w:val="0"/>
        <w:autoSpaceDN w:val="0"/>
        <w:adjustRightInd w:val="0"/>
        <w:jc w:val="both"/>
        <w:rPr>
          <w:rFonts w:ascii="LindeDaxOffice Medium" w:hAnsi="LindeDaxOffice Medium"/>
          <w:b/>
          <w:caps/>
          <w:color w:val="000000"/>
          <w:sz w:val="24"/>
        </w:rPr>
      </w:pPr>
    </w:p>
    <w:p w14:paraId="169D7B32" w14:textId="77777777" w:rsidR="00AC223C" w:rsidRDefault="00AC223C" w:rsidP="00CF3646">
      <w:pPr>
        <w:autoSpaceDE w:val="0"/>
        <w:autoSpaceDN w:val="0"/>
        <w:adjustRightInd w:val="0"/>
        <w:jc w:val="both"/>
        <w:rPr>
          <w:rFonts w:ascii="LindeDaxOffice Medium" w:hAnsi="LindeDaxOffice Medium"/>
          <w:b/>
          <w:caps/>
          <w:color w:val="000000"/>
          <w:sz w:val="24"/>
        </w:rPr>
      </w:pPr>
    </w:p>
    <w:p w14:paraId="3CFBF0D1" w14:textId="77777777" w:rsidR="00AC223C" w:rsidRDefault="00AC223C" w:rsidP="00CF3646">
      <w:pPr>
        <w:autoSpaceDE w:val="0"/>
        <w:autoSpaceDN w:val="0"/>
        <w:adjustRightInd w:val="0"/>
        <w:jc w:val="both"/>
        <w:rPr>
          <w:rFonts w:ascii="LindeDaxOffice Medium" w:hAnsi="LindeDaxOffice Medium"/>
          <w:b/>
          <w:caps/>
          <w:color w:val="000000"/>
          <w:sz w:val="24"/>
        </w:rPr>
      </w:pPr>
    </w:p>
    <w:p w14:paraId="7AAE3ED6" w14:textId="77777777" w:rsidR="00AC223C" w:rsidRDefault="00AC223C" w:rsidP="00CF3646">
      <w:pPr>
        <w:autoSpaceDE w:val="0"/>
        <w:autoSpaceDN w:val="0"/>
        <w:adjustRightInd w:val="0"/>
        <w:jc w:val="both"/>
        <w:rPr>
          <w:rFonts w:ascii="LindeDaxOffice Medium" w:hAnsi="LindeDaxOffice Medium"/>
          <w:b/>
          <w:caps/>
          <w:color w:val="000000"/>
          <w:sz w:val="24"/>
        </w:rPr>
      </w:pPr>
    </w:p>
    <w:p w14:paraId="6468A820" w14:textId="77777777" w:rsidR="00AC223C" w:rsidRDefault="00AC223C" w:rsidP="00CF3646">
      <w:pPr>
        <w:autoSpaceDE w:val="0"/>
        <w:autoSpaceDN w:val="0"/>
        <w:adjustRightInd w:val="0"/>
        <w:jc w:val="both"/>
        <w:rPr>
          <w:rFonts w:ascii="LindeDaxOffice Medium" w:hAnsi="LindeDaxOffice Medium"/>
          <w:b/>
          <w:caps/>
          <w:color w:val="000000"/>
          <w:sz w:val="24"/>
        </w:rPr>
      </w:pPr>
    </w:p>
    <w:p w14:paraId="78171FBE" w14:textId="77777777" w:rsidR="00AC223C" w:rsidRDefault="00AC223C" w:rsidP="00CF3646">
      <w:pPr>
        <w:autoSpaceDE w:val="0"/>
        <w:autoSpaceDN w:val="0"/>
        <w:adjustRightInd w:val="0"/>
        <w:jc w:val="both"/>
        <w:rPr>
          <w:rFonts w:ascii="LindeDaxOffice Medium" w:hAnsi="LindeDaxOffice Medium"/>
          <w:b/>
          <w:caps/>
          <w:color w:val="000000"/>
          <w:sz w:val="24"/>
        </w:rPr>
      </w:pPr>
    </w:p>
    <w:p w14:paraId="00A7B4B3" w14:textId="33B66A41" w:rsidR="00CF3646" w:rsidRPr="009E4DAF" w:rsidRDefault="00CF3646" w:rsidP="00CF3646">
      <w:pPr>
        <w:autoSpaceDE w:val="0"/>
        <w:autoSpaceDN w:val="0"/>
        <w:adjustRightInd w:val="0"/>
        <w:jc w:val="both"/>
        <w:rPr>
          <w:rFonts w:ascii="LindeDaxOffice Medium" w:hAnsi="LindeDaxOffice Medium"/>
          <w:b/>
          <w:caps/>
          <w:color w:val="000000"/>
          <w:sz w:val="24"/>
        </w:rPr>
      </w:pPr>
      <w:r w:rsidRPr="009E4DAF">
        <w:rPr>
          <w:rFonts w:ascii="LindeDaxOffice Medium" w:hAnsi="LindeDaxOffice Medium"/>
          <w:b/>
          <w:caps/>
          <w:color w:val="000000"/>
          <w:sz w:val="24"/>
        </w:rPr>
        <w:lastRenderedPageBreak/>
        <w:t>Esta página não deve ser impressa, é apenas para controle do histórico de versões.</w:t>
      </w:r>
    </w:p>
    <w:p w14:paraId="3CCBF96A" w14:textId="370D6386" w:rsidR="00CF3646" w:rsidRPr="009E4DAF" w:rsidRDefault="007B3163" w:rsidP="007B3163">
      <w:pPr>
        <w:tabs>
          <w:tab w:val="left" w:pos="4287"/>
        </w:tabs>
        <w:autoSpaceDE w:val="0"/>
        <w:autoSpaceDN w:val="0"/>
        <w:adjustRightInd w:val="0"/>
        <w:jc w:val="both"/>
        <w:rPr>
          <w:rFonts w:ascii="LindeDaxOffice Medium" w:hAnsi="LindeDaxOffice Medium"/>
          <w:b/>
          <w:caps/>
          <w:color w:val="000000"/>
          <w:sz w:val="24"/>
        </w:rPr>
      </w:pPr>
      <w:r>
        <w:rPr>
          <w:rFonts w:ascii="LindeDaxOffice Medium" w:hAnsi="LindeDaxOffice Medium"/>
          <w:b/>
          <w:caps/>
          <w:color w:val="000000"/>
          <w:sz w:val="24"/>
        </w:rPr>
        <w:tab/>
      </w:r>
    </w:p>
    <w:p w14:paraId="782C2ECC" w14:textId="77777777" w:rsidR="00CF3646" w:rsidRPr="009E4DAF" w:rsidRDefault="00CF3646" w:rsidP="00CF3646">
      <w:pPr>
        <w:autoSpaceDE w:val="0"/>
        <w:autoSpaceDN w:val="0"/>
        <w:adjustRightInd w:val="0"/>
        <w:jc w:val="both"/>
        <w:rPr>
          <w:rFonts w:ascii="LindeDaxOffice Medium" w:hAnsi="LindeDaxOffice Medium"/>
          <w:b/>
          <w:caps/>
          <w:color w:val="000000"/>
          <w:sz w:val="24"/>
        </w:rPr>
      </w:pPr>
      <w:r w:rsidRPr="009E4DAF">
        <w:rPr>
          <w:rFonts w:ascii="LindeDaxOffice Medium" w:hAnsi="LindeDaxOffice Medium"/>
          <w:b/>
          <w:caps/>
          <w:color w:val="000000"/>
          <w:sz w:val="24"/>
        </w:rPr>
        <w:t>Histórico de Versões</w:t>
      </w:r>
    </w:p>
    <w:p w14:paraId="520C44DD" w14:textId="77777777" w:rsidR="00CF3646" w:rsidRPr="009E4DAF" w:rsidRDefault="00CF3646" w:rsidP="00CF3646">
      <w:pPr>
        <w:autoSpaceDE w:val="0"/>
        <w:autoSpaceDN w:val="0"/>
        <w:adjustRightInd w:val="0"/>
        <w:jc w:val="both"/>
        <w:rPr>
          <w:rFonts w:ascii="LindeDaxOffice Medium" w:hAnsi="LindeDaxOffice Medium"/>
          <w:color w:val="000000"/>
          <w:szCs w:val="20"/>
        </w:rPr>
      </w:pPr>
    </w:p>
    <w:tbl>
      <w:tblPr>
        <w:tblW w:w="9779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5"/>
        <w:gridCol w:w="1353"/>
        <w:gridCol w:w="6391"/>
      </w:tblGrid>
      <w:tr w:rsidR="00CF3646" w:rsidRPr="009E4DAF" w14:paraId="11D9253E" w14:textId="77777777" w:rsidTr="005B2F85">
        <w:trPr>
          <w:trHeight w:val="256"/>
        </w:trPr>
        <w:tc>
          <w:tcPr>
            <w:tcW w:w="2035" w:type="dxa"/>
            <w:shd w:val="clear" w:color="auto" w:fill="auto"/>
            <w:noWrap/>
            <w:vAlign w:val="bottom"/>
            <w:hideMark/>
          </w:tcPr>
          <w:p w14:paraId="3BBABCC2" w14:textId="77777777" w:rsidR="00CF3646" w:rsidRPr="009E4DAF" w:rsidRDefault="00CF3646" w:rsidP="00834288">
            <w:pPr>
              <w:jc w:val="center"/>
              <w:rPr>
                <w:rFonts w:ascii="LindeDaxOffice Medium" w:hAnsi="LindeDaxOffice Medium"/>
                <w:b/>
                <w:bCs/>
                <w:color w:val="000000"/>
                <w:szCs w:val="20"/>
              </w:rPr>
            </w:pPr>
            <w:r w:rsidRPr="009E4DAF">
              <w:rPr>
                <w:rFonts w:ascii="LindeDaxOffice Medium" w:hAnsi="LindeDaxOffice Medium"/>
                <w:b/>
                <w:bCs/>
                <w:color w:val="000000"/>
                <w:szCs w:val="20"/>
              </w:rPr>
              <w:t xml:space="preserve">Revisão 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5E83C97" w14:textId="77777777" w:rsidR="00CF3646" w:rsidRPr="009E4DAF" w:rsidRDefault="00CF3646" w:rsidP="00834288">
            <w:pPr>
              <w:jc w:val="center"/>
              <w:rPr>
                <w:rFonts w:ascii="LindeDaxOffice Medium" w:hAnsi="LindeDaxOffice Medium"/>
                <w:b/>
                <w:bCs/>
                <w:color w:val="000000"/>
                <w:szCs w:val="20"/>
              </w:rPr>
            </w:pPr>
            <w:r w:rsidRPr="009E4DAF">
              <w:rPr>
                <w:rFonts w:ascii="LindeDaxOffice Medium" w:hAnsi="LindeDaxOffice Medium"/>
                <w:b/>
                <w:bCs/>
                <w:color w:val="000000"/>
                <w:szCs w:val="20"/>
              </w:rPr>
              <w:t>Data</w:t>
            </w:r>
          </w:p>
        </w:tc>
        <w:tc>
          <w:tcPr>
            <w:tcW w:w="6391" w:type="dxa"/>
            <w:shd w:val="clear" w:color="auto" w:fill="auto"/>
            <w:noWrap/>
            <w:vAlign w:val="bottom"/>
            <w:hideMark/>
          </w:tcPr>
          <w:p w14:paraId="396925BA" w14:textId="77777777" w:rsidR="00CF3646" w:rsidRPr="009E4DAF" w:rsidRDefault="00CF3646" w:rsidP="00834288">
            <w:pPr>
              <w:jc w:val="center"/>
              <w:rPr>
                <w:rFonts w:ascii="LindeDaxOffice Medium" w:hAnsi="LindeDaxOffice Medium"/>
                <w:b/>
                <w:bCs/>
                <w:color w:val="000000"/>
                <w:szCs w:val="20"/>
              </w:rPr>
            </w:pPr>
            <w:r w:rsidRPr="009E4DAF">
              <w:rPr>
                <w:rFonts w:ascii="LindeDaxOffice Medium" w:hAnsi="LindeDaxOffice Medium"/>
                <w:b/>
                <w:bCs/>
                <w:color w:val="000000"/>
                <w:szCs w:val="20"/>
              </w:rPr>
              <w:t>Descrição das Alterações</w:t>
            </w:r>
          </w:p>
        </w:tc>
      </w:tr>
      <w:tr w:rsidR="005B2F85" w:rsidRPr="009E4DAF" w14:paraId="7BD01484" w14:textId="77777777" w:rsidTr="005B2F85">
        <w:trPr>
          <w:trHeight w:val="758"/>
        </w:trPr>
        <w:tc>
          <w:tcPr>
            <w:tcW w:w="2035" w:type="dxa"/>
            <w:shd w:val="clear" w:color="auto" w:fill="auto"/>
            <w:noWrap/>
            <w:vAlign w:val="center"/>
          </w:tcPr>
          <w:p w14:paraId="7694651A" w14:textId="15D7A062" w:rsidR="005B2F85" w:rsidRPr="009E4DAF" w:rsidRDefault="005B2F85" w:rsidP="00834288">
            <w:pPr>
              <w:jc w:val="center"/>
              <w:rPr>
                <w:rFonts w:ascii="LindeDaxOffice Medium" w:hAnsi="LindeDaxOffice Medium"/>
                <w:color w:val="000000"/>
                <w:szCs w:val="20"/>
              </w:rPr>
            </w:pPr>
            <w:r>
              <w:rPr>
                <w:rFonts w:ascii="LindeDaxOffice Medium" w:hAnsi="LindeDaxOffice Medium"/>
                <w:color w:val="000000"/>
                <w:szCs w:val="20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center"/>
          </w:tcPr>
          <w:p w14:paraId="35F79B25" w14:textId="36A9A086" w:rsidR="005B2F85" w:rsidRDefault="005B2F85" w:rsidP="00834288">
            <w:pPr>
              <w:jc w:val="center"/>
              <w:rPr>
                <w:rFonts w:ascii="LindeDaxOffice Medium" w:hAnsi="LindeDaxOffice Medium"/>
                <w:color w:val="000000"/>
                <w:szCs w:val="20"/>
              </w:rPr>
            </w:pPr>
            <w:r>
              <w:rPr>
                <w:rFonts w:ascii="LindeDaxOffice Medium" w:hAnsi="LindeDaxOffice Medium"/>
                <w:color w:val="000000"/>
                <w:szCs w:val="20"/>
              </w:rPr>
              <w:t>1</w:t>
            </w:r>
            <w:r w:rsidR="00EE2F3B">
              <w:rPr>
                <w:rFonts w:ascii="LindeDaxOffice Medium" w:hAnsi="LindeDaxOffice Medium"/>
                <w:color w:val="000000"/>
                <w:szCs w:val="20"/>
              </w:rPr>
              <w:t>2</w:t>
            </w:r>
            <w:r>
              <w:rPr>
                <w:rFonts w:ascii="LindeDaxOffice Medium" w:hAnsi="LindeDaxOffice Medium"/>
                <w:color w:val="000000"/>
                <w:szCs w:val="20"/>
              </w:rPr>
              <w:t>/06/2026</w:t>
            </w:r>
          </w:p>
        </w:tc>
        <w:tc>
          <w:tcPr>
            <w:tcW w:w="6391" w:type="dxa"/>
            <w:shd w:val="clear" w:color="auto" w:fill="auto"/>
            <w:noWrap/>
            <w:vAlign w:val="center"/>
          </w:tcPr>
          <w:p w14:paraId="7707A84A" w14:textId="6B4E428B" w:rsidR="005B2F85" w:rsidRPr="009E4DAF" w:rsidRDefault="00F07B0B" w:rsidP="0062263D">
            <w:pPr>
              <w:spacing w:after="0"/>
              <w:jc w:val="both"/>
              <w:rPr>
                <w:rFonts w:ascii="LindeDaxOffice Medium" w:hAnsi="LindeDaxOffice Medium"/>
                <w:color w:val="000000"/>
                <w:szCs w:val="20"/>
              </w:rPr>
            </w:pPr>
            <w:r>
              <w:rPr>
                <w:rFonts w:ascii="LindeDaxOffice Medium" w:hAnsi="LindeDaxOffice Medium"/>
                <w:color w:val="000000"/>
                <w:szCs w:val="20"/>
              </w:rPr>
              <w:t xml:space="preserve">Inclusão do documento no PGI. Inclusão do item Perigo. Atualização das capacidades dos cilindros, dos dados das empresas notificadoras </w:t>
            </w:r>
            <w:r w:rsidR="0074042B">
              <w:rPr>
                <w:rFonts w:ascii="LindeDaxOffice Medium" w:hAnsi="LindeDaxOffice Medium"/>
                <w:color w:val="000000"/>
                <w:szCs w:val="20"/>
              </w:rPr>
              <w:t xml:space="preserve">e envasadoras, </w:t>
            </w:r>
            <w:r>
              <w:rPr>
                <w:rFonts w:ascii="LindeDaxOffice Medium" w:hAnsi="LindeDaxOffice Medium"/>
                <w:color w:val="000000"/>
                <w:szCs w:val="20"/>
              </w:rPr>
              <w:t xml:space="preserve">e do prazo de validade conforme estudo de estabilidade. Reorganização na ordem dos itens conforme Anexo I da RDC 870/2024. Não houve alteração do conteúdo das demais informações que continuam conforme </w:t>
            </w:r>
            <w:r w:rsidR="00B97DB1" w:rsidRPr="009E4DAF">
              <w:rPr>
                <w:rFonts w:ascii="LindeDaxOffice Medium" w:hAnsi="LindeDaxOffice Medium"/>
                <w:color w:val="000000"/>
                <w:szCs w:val="20"/>
              </w:rPr>
              <w:t>CD-28620 Rev 15 - 11/</w:t>
            </w:r>
            <w:r w:rsidR="00B97DB1">
              <w:rPr>
                <w:rFonts w:ascii="LindeDaxOffice Medium" w:hAnsi="LindeDaxOffice Medium"/>
                <w:color w:val="000000"/>
                <w:szCs w:val="20"/>
              </w:rPr>
              <w:t>20</w:t>
            </w:r>
            <w:r w:rsidR="00B97DB1" w:rsidRPr="009E4DAF">
              <w:rPr>
                <w:rFonts w:ascii="LindeDaxOffice Medium" w:hAnsi="LindeDaxOffice Medium"/>
                <w:color w:val="000000"/>
                <w:szCs w:val="20"/>
              </w:rPr>
              <w:t>24</w:t>
            </w:r>
            <w:r w:rsidR="006252E2">
              <w:rPr>
                <w:rFonts w:ascii="LindeDaxOffice Medium" w:hAnsi="LindeDaxOffice Medium"/>
                <w:color w:val="000000"/>
                <w:szCs w:val="20"/>
              </w:rPr>
              <w:t>.</w:t>
            </w:r>
          </w:p>
        </w:tc>
      </w:tr>
      <w:tr w:rsidR="00CF3646" w:rsidRPr="009E4DAF" w14:paraId="575B4BAB" w14:textId="77777777" w:rsidTr="005B2F85">
        <w:trPr>
          <w:trHeight w:val="758"/>
        </w:trPr>
        <w:tc>
          <w:tcPr>
            <w:tcW w:w="2035" w:type="dxa"/>
            <w:shd w:val="clear" w:color="auto" w:fill="auto"/>
            <w:noWrap/>
            <w:vAlign w:val="center"/>
          </w:tcPr>
          <w:p w14:paraId="527678BD" w14:textId="77777777" w:rsidR="00CF3646" w:rsidRPr="009E4DAF" w:rsidRDefault="00CF3646" w:rsidP="00834288">
            <w:pPr>
              <w:jc w:val="center"/>
              <w:rPr>
                <w:rFonts w:ascii="LindeDaxOffice Medium" w:hAnsi="LindeDaxOffice Medium"/>
                <w:color w:val="000000"/>
                <w:szCs w:val="20"/>
              </w:rPr>
            </w:pPr>
            <w:r w:rsidRPr="009E4DAF">
              <w:rPr>
                <w:rFonts w:ascii="LindeDaxOffice Medium" w:hAnsi="LindeDaxOffice Medium"/>
                <w:color w:val="000000"/>
                <w:szCs w:val="20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center"/>
          </w:tcPr>
          <w:p w14:paraId="2602D3DD" w14:textId="535D22D0" w:rsidR="00CF3646" w:rsidRPr="009E4DAF" w:rsidRDefault="007B3163" w:rsidP="00834288">
            <w:pPr>
              <w:jc w:val="center"/>
              <w:rPr>
                <w:rFonts w:ascii="LindeDaxOffice Medium" w:hAnsi="LindeDaxOffice Medium"/>
                <w:color w:val="000000"/>
                <w:szCs w:val="20"/>
              </w:rPr>
            </w:pPr>
            <w:r>
              <w:rPr>
                <w:rFonts w:ascii="LindeDaxOffice Medium" w:hAnsi="LindeDaxOffice Medium"/>
                <w:color w:val="000000"/>
                <w:szCs w:val="20"/>
              </w:rPr>
              <w:t>21</w:t>
            </w:r>
            <w:r w:rsidR="00CF3646" w:rsidRPr="009E4DAF">
              <w:rPr>
                <w:rFonts w:ascii="LindeDaxOffice Medium" w:hAnsi="LindeDaxOffice Medium"/>
                <w:color w:val="000000"/>
                <w:szCs w:val="20"/>
              </w:rPr>
              <w:t>/0</w:t>
            </w:r>
            <w:r>
              <w:rPr>
                <w:rFonts w:ascii="LindeDaxOffice Medium" w:hAnsi="LindeDaxOffice Medium"/>
                <w:color w:val="000000"/>
                <w:szCs w:val="20"/>
              </w:rPr>
              <w:t>3</w:t>
            </w:r>
            <w:r w:rsidR="00CF3646" w:rsidRPr="009E4DAF">
              <w:rPr>
                <w:rFonts w:ascii="LindeDaxOffice Medium" w:hAnsi="LindeDaxOffice Medium"/>
                <w:color w:val="000000"/>
                <w:szCs w:val="20"/>
              </w:rPr>
              <w:t>/202</w:t>
            </w:r>
            <w:r>
              <w:rPr>
                <w:rFonts w:ascii="LindeDaxOffice Medium" w:hAnsi="LindeDaxOffice Medium"/>
                <w:color w:val="000000"/>
                <w:szCs w:val="20"/>
              </w:rPr>
              <w:t>5</w:t>
            </w:r>
          </w:p>
        </w:tc>
        <w:tc>
          <w:tcPr>
            <w:tcW w:w="6391" w:type="dxa"/>
            <w:shd w:val="clear" w:color="auto" w:fill="auto"/>
            <w:noWrap/>
            <w:vAlign w:val="center"/>
          </w:tcPr>
          <w:p w14:paraId="558679A9" w14:textId="77777777" w:rsidR="00CF3646" w:rsidRPr="009E4DAF" w:rsidRDefault="00CF3646" w:rsidP="00834288">
            <w:pPr>
              <w:spacing w:after="0"/>
              <w:jc w:val="both"/>
              <w:rPr>
                <w:rFonts w:ascii="LindeDaxOffice Medium" w:hAnsi="LindeDaxOffice Medium"/>
                <w:color w:val="000000"/>
                <w:szCs w:val="20"/>
              </w:rPr>
            </w:pPr>
            <w:r w:rsidRPr="009E4DAF">
              <w:rPr>
                <w:rFonts w:ascii="LindeDaxOffice Medium" w:hAnsi="LindeDaxOffice Medium"/>
                <w:color w:val="000000"/>
                <w:szCs w:val="20"/>
              </w:rPr>
              <w:t>Incluído histórico de versões.</w:t>
            </w:r>
          </w:p>
          <w:p w14:paraId="22F620F6" w14:textId="48B35F35" w:rsidR="00CF3646" w:rsidRPr="009E4DAF" w:rsidRDefault="00CF3646" w:rsidP="00834288">
            <w:pPr>
              <w:jc w:val="both"/>
              <w:rPr>
                <w:rFonts w:ascii="LindeDaxOffice Medium" w:hAnsi="LindeDaxOffice Medium"/>
                <w:color w:val="000000"/>
                <w:szCs w:val="20"/>
              </w:rPr>
            </w:pPr>
            <w:r w:rsidRPr="009E4DAF">
              <w:rPr>
                <w:rFonts w:ascii="LindeDaxOffice Medium" w:hAnsi="LindeDaxOffice Medium"/>
                <w:color w:val="000000"/>
                <w:szCs w:val="20"/>
              </w:rPr>
              <w:t xml:space="preserve">Harmonização ao </w:t>
            </w:r>
            <w:r w:rsidR="00C734B2" w:rsidRPr="009E4DAF">
              <w:rPr>
                <w:rFonts w:ascii="LindeDaxOffice Medium" w:hAnsi="LindeDaxOffice Medium"/>
                <w:color w:val="000000"/>
                <w:szCs w:val="20"/>
              </w:rPr>
              <w:t>CD-28620 Rev 15 - 11/</w:t>
            </w:r>
            <w:r w:rsidR="00FF78E7">
              <w:rPr>
                <w:rFonts w:ascii="LindeDaxOffice Medium" w:hAnsi="LindeDaxOffice Medium"/>
                <w:color w:val="000000"/>
                <w:szCs w:val="20"/>
              </w:rPr>
              <w:t>20</w:t>
            </w:r>
            <w:r w:rsidR="00C734B2" w:rsidRPr="009E4DAF">
              <w:rPr>
                <w:rFonts w:ascii="LindeDaxOffice Medium" w:hAnsi="LindeDaxOffice Medium"/>
                <w:color w:val="000000"/>
                <w:szCs w:val="20"/>
              </w:rPr>
              <w:t>24</w:t>
            </w:r>
            <w:r w:rsidRPr="009E4DAF">
              <w:rPr>
                <w:rFonts w:ascii="LindeDaxOffice Medium" w:hAnsi="LindeDaxOffice Medium"/>
                <w:color w:val="000000"/>
                <w:szCs w:val="20"/>
              </w:rPr>
              <w:t>, à RDC 870/2024 e à IN 301/2024.</w:t>
            </w:r>
          </w:p>
        </w:tc>
      </w:tr>
    </w:tbl>
    <w:p w14:paraId="1613621D" w14:textId="77777777" w:rsidR="00CF3646" w:rsidRPr="009E4DAF" w:rsidRDefault="00CF3646" w:rsidP="00D35F18">
      <w:pPr>
        <w:rPr>
          <w:rFonts w:ascii="LindeDaxOffice Medium" w:hAnsi="LindeDaxOffice Medium"/>
          <w:color w:val="000000" w:themeColor="text1"/>
        </w:rPr>
      </w:pPr>
    </w:p>
    <w:p w14:paraId="4B9A3255" w14:textId="7589B148" w:rsidR="00C734B2" w:rsidRPr="009E4DAF" w:rsidRDefault="00C734B2" w:rsidP="00C734B2">
      <w:pPr>
        <w:tabs>
          <w:tab w:val="left" w:pos="6085"/>
        </w:tabs>
        <w:rPr>
          <w:rFonts w:ascii="LindeDaxOffice Medium" w:hAnsi="LindeDaxOffice Medium"/>
        </w:rPr>
      </w:pPr>
      <w:r w:rsidRPr="009E4DAF">
        <w:rPr>
          <w:rFonts w:ascii="LindeDaxOffice Medium" w:hAnsi="LindeDaxOffice Medium"/>
        </w:rPr>
        <w:tab/>
      </w:r>
    </w:p>
    <w:sectPr w:rsidR="00C734B2" w:rsidRPr="009E4DAF" w:rsidSect="00C934D8">
      <w:headerReference w:type="default" r:id="rId10"/>
      <w:footerReference w:type="default" r:id="rId11"/>
      <w:pgSz w:w="11906" w:h="16838"/>
      <w:pgMar w:top="709" w:right="849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FD66A" w14:textId="77777777" w:rsidR="001C5140" w:rsidRDefault="001C5140" w:rsidP="006913A2">
      <w:pPr>
        <w:spacing w:after="0" w:line="240" w:lineRule="auto"/>
      </w:pPr>
      <w:r>
        <w:separator/>
      </w:r>
    </w:p>
  </w:endnote>
  <w:endnote w:type="continuationSeparator" w:id="0">
    <w:p w14:paraId="699337AC" w14:textId="77777777" w:rsidR="001C5140" w:rsidRDefault="001C5140" w:rsidP="00691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ndeDaxOffice Medium">
    <w:panose1 w:val="020B0600000000020000"/>
    <w:charset w:val="00"/>
    <w:family w:val="swiss"/>
    <w:pitch w:val="variable"/>
    <w:sig w:usb0="800000AF" w:usb1="5000206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DD91B" w14:textId="64AAFE7C" w:rsidR="00DD23D3" w:rsidRPr="00564AA5" w:rsidRDefault="00612BFB" w:rsidP="00C00152">
    <w:pPr>
      <w:pStyle w:val="Footer"/>
      <w:rPr>
        <w:rFonts w:ascii="LindeDaxOffice Medium" w:hAnsi="LindeDaxOffice Medium"/>
        <w:sz w:val="18"/>
        <w:szCs w:val="18"/>
      </w:rPr>
    </w:pPr>
    <w:r w:rsidRPr="00564AA5">
      <w:rPr>
        <w:rFonts w:ascii="LindeDaxOffice Medium" w:hAnsi="LindeDaxOffice Medium"/>
        <w:sz w:val="18"/>
        <w:szCs w:val="18"/>
      </w:rPr>
      <w:t>w</w:t>
    </w:r>
    <w:r w:rsidR="00F336B4" w:rsidRPr="00564AA5">
      <w:rPr>
        <w:rFonts w:ascii="LindeDaxOffice Medium" w:hAnsi="LindeDaxOffice Medium"/>
        <w:sz w:val="18"/>
        <w:szCs w:val="18"/>
      </w:rPr>
      <w:t>mpa0</w:t>
    </w:r>
    <w:r w:rsidRPr="00564AA5">
      <w:rPr>
        <w:rFonts w:ascii="LindeDaxOffice Medium" w:hAnsi="LindeDaxOffice Medium"/>
        <w:sz w:val="18"/>
        <w:szCs w:val="18"/>
      </w:rPr>
      <w:t>3601 Form 120</w:t>
    </w:r>
    <w:r w:rsidR="00C74B31">
      <w:rPr>
        <w:rFonts w:ascii="LindeDaxOffice Medium" w:hAnsi="LindeDaxOffice Medium"/>
        <w:sz w:val="18"/>
        <w:szCs w:val="18"/>
      </w:rPr>
      <w:tab/>
    </w:r>
    <w:r w:rsidR="00C74B31">
      <w:rPr>
        <w:rFonts w:ascii="LindeDaxOffice Medium" w:hAnsi="LindeDaxOffice Medium"/>
        <w:sz w:val="18"/>
        <w:szCs w:val="18"/>
      </w:rPr>
      <w:tab/>
    </w:r>
    <w:r w:rsidR="00C74B31">
      <w:rPr>
        <w:rFonts w:ascii="LindeDaxOffice Medium" w:hAnsi="LindeDaxOffice Medium"/>
        <w:sz w:val="18"/>
        <w:szCs w:val="18"/>
      </w:rPr>
      <w:tab/>
    </w:r>
    <w:r w:rsidR="000D516F">
      <w:rPr>
        <w:rFonts w:ascii="LindeDaxOffice Medium" w:hAnsi="LindeDaxOffice Medium"/>
        <w:sz w:val="18"/>
        <w:szCs w:val="18"/>
      </w:rPr>
      <w:t xml:space="preserve">Pág. </w:t>
    </w:r>
    <w:r w:rsidR="000D516F" w:rsidRPr="000D516F">
      <w:rPr>
        <w:rFonts w:ascii="LindeDaxOffice Medium" w:hAnsi="LindeDaxOffice Medium"/>
        <w:sz w:val="18"/>
        <w:szCs w:val="18"/>
      </w:rPr>
      <w:fldChar w:fldCharType="begin"/>
    </w:r>
    <w:r w:rsidR="000D516F" w:rsidRPr="000D516F">
      <w:rPr>
        <w:rFonts w:ascii="LindeDaxOffice Medium" w:hAnsi="LindeDaxOffice Medium"/>
        <w:sz w:val="18"/>
        <w:szCs w:val="18"/>
      </w:rPr>
      <w:instrText xml:space="preserve"> PAGE   \* MERGEFORMAT </w:instrText>
    </w:r>
    <w:r w:rsidR="000D516F" w:rsidRPr="000D516F">
      <w:rPr>
        <w:rFonts w:ascii="LindeDaxOffice Medium" w:hAnsi="LindeDaxOffice Medium"/>
        <w:sz w:val="18"/>
        <w:szCs w:val="18"/>
      </w:rPr>
      <w:fldChar w:fldCharType="separate"/>
    </w:r>
    <w:r w:rsidR="000D516F" w:rsidRPr="000D516F">
      <w:rPr>
        <w:rFonts w:ascii="LindeDaxOffice Medium" w:hAnsi="LindeDaxOffice Medium"/>
        <w:noProof/>
        <w:sz w:val="18"/>
        <w:szCs w:val="18"/>
      </w:rPr>
      <w:t>1</w:t>
    </w:r>
    <w:r w:rsidR="000D516F" w:rsidRPr="000D516F">
      <w:rPr>
        <w:rFonts w:ascii="LindeDaxOffice Medium" w:hAnsi="LindeDaxOffice Medium"/>
        <w:noProof/>
        <w:sz w:val="18"/>
        <w:szCs w:val="18"/>
      </w:rPr>
      <w:fldChar w:fldCharType="end"/>
    </w:r>
    <w:r w:rsidR="000D516F">
      <w:rPr>
        <w:rFonts w:ascii="LindeDaxOffice Medium" w:hAnsi="LindeDaxOffice Medium"/>
        <w:noProof/>
        <w:sz w:val="18"/>
        <w:szCs w:val="18"/>
      </w:rPr>
      <w:t>/</w:t>
    </w:r>
    <w:r w:rsidR="00AC223C">
      <w:rPr>
        <w:rFonts w:ascii="LindeDaxOffice Medium" w:hAnsi="LindeDaxOffice Medium"/>
        <w:noProof/>
        <w:sz w:val="18"/>
        <w:szCs w:val="18"/>
      </w:rPr>
      <w:t>3</w:t>
    </w:r>
  </w:p>
  <w:p w14:paraId="5F1C2B44" w14:textId="4C61AEFE" w:rsidR="006913A2" w:rsidRPr="00564AA5" w:rsidRDefault="001C0C33" w:rsidP="00C74B31">
    <w:pPr>
      <w:pStyle w:val="Footer"/>
      <w:rPr>
        <w:rFonts w:ascii="LindeDaxOffice Medium" w:hAnsi="LindeDaxOffice Medium"/>
        <w:sz w:val="18"/>
        <w:szCs w:val="18"/>
      </w:rPr>
    </w:pPr>
    <w:r w:rsidRPr="00564AA5">
      <w:rPr>
        <w:rFonts w:ascii="LindeDaxOffice Medium" w:hAnsi="LindeDaxOffice Medium"/>
        <w:sz w:val="18"/>
        <w:szCs w:val="18"/>
      </w:rPr>
      <w:t xml:space="preserve">Ficha Técnica </w:t>
    </w:r>
    <w:r>
      <w:rPr>
        <w:rFonts w:ascii="LindeDaxOffice Medium" w:hAnsi="LindeDaxOffice Medium"/>
        <w:sz w:val="18"/>
        <w:szCs w:val="18"/>
      </w:rPr>
      <w:t>–</w:t>
    </w:r>
    <w:r w:rsidRPr="00564AA5">
      <w:rPr>
        <w:rFonts w:ascii="LindeDaxOffice Medium" w:hAnsi="LindeDaxOffice Medium"/>
        <w:sz w:val="18"/>
        <w:szCs w:val="18"/>
      </w:rPr>
      <w:t xml:space="preserve"> </w:t>
    </w:r>
    <w:r>
      <w:rPr>
        <w:rFonts w:ascii="LindeDaxOffice Medium" w:hAnsi="LindeDaxOffice Medium"/>
        <w:sz w:val="18"/>
        <w:szCs w:val="18"/>
      </w:rPr>
      <w:t>Texto do Rótulo – Folheto Informativo</w:t>
    </w:r>
    <w:r w:rsidRPr="00564AA5">
      <w:rPr>
        <w:rFonts w:ascii="LindeDaxOffice Medium" w:hAnsi="LindeDaxOffice Medium"/>
        <w:sz w:val="18"/>
        <w:szCs w:val="18"/>
      </w:rPr>
      <w:t xml:space="preserve"> </w:t>
    </w:r>
    <w:r>
      <w:rPr>
        <w:rFonts w:ascii="LindeDaxOffice Medium" w:hAnsi="LindeDaxOffice Medium"/>
        <w:sz w:val="18"/>
        <w:szCs w:val="18"/>
      </w:rPr>
      <w:t>–</w:t>
    </w:r>
    <w:r w:rsidRPr="00564AA5">
      <w:rPr>
        <w:rFonts w:ascii="LindeDaxOffice Medium" w:hAnsi="LindeDaxOffice Medium"/>
        <w:sz w:val="18"/>
        <w:szCs w:val="18"/>
      </w:rPr>
      <w:t xml:space="preserve"> </w:t>
    </w:r>
    <w:r w:rsidR="006913A2" w:rsidRPr="00564AA5">
      <w:rPr>
        <w:rFonts w:ascii="LindeDaxOffice Medium" w:hAnsi="LindeDaxOffice Medium"/>
        <w:sz w:val="18"/>
        <w:szCs w:val="18"/>
      </w:rPr>
      <w:t xml:space="preserve">Oxigênio Líquido </w:t>
    </w:r>
    <w:r w:rsidR="001946B8" w:rsidRPr="00564AA5">
      <w:rPr>
        <w:rFonts w:ascii="LindeDaxOffice Medium" w:hAnsi="LindeDaxOffice Medium"/>
        <w:sz w:val="18"/>
        <w:szCs w:val="18"/>
      </w:rPr>
      <w:t xml:space="preserve">Criogênico </w:t>
    </w:r>
    <w:r w:rsidR="006913A2" w:rsidRPr="00564AA5">
      <w:rPr>
        <w:rFonts w:ascii="LindeDaxOffice Medium" w:hAnsi="LindeDaxOffice Medium"/>
        <w:sz w:val="18"/>
        <w:szCs w:val="18"/>
      </w:rPr>
      <w:t>Medicinal - Rev 0</w:t>
    </w:r>
    <w:r w:rsidR="00B01C13">
      <w:rPr>
        <w:rFonts w:ascii="LindeDaxOffice Medium" w:hAnsi="LindeDaxOffice Medium"/>
        <w:sz w:val="18"/>
        <w:szCs w:val="18"/>
      </w:rPr>
      <w:t>2</w:t>
    </w:r>
    <w:r w:rsidR="006913A2" w:rsidRPr="00564AA5">
      <w:rPr>
        <w:rFonts w:ascii="LindeDaxOffice Medium" w:hAnsi="LindeDaxOffice Medium"/>
        <w:sz w:val="18"/>
        <w:szCs w:val="18"/>
      </w:rPr>
      <w:t xml:space="preserve"> - 0</w:t>
    </w:r>
    <w:r w:rsidR="00B01C13">
      <w:rPr>
        <w:rFonts w:ascii="LindeDaxOffice Medium" w:hAnsi="LindeDaxOffice Medium"/>
        <w:sz w:val="18"/>
        <w:szCs w:val="18"/>
      </w:rPr>
      <w:t>6</w:t>
    </w:r>
    <w:r w:rsidR="006913A2" w:rsidRPr="00564AA5">
      <w:rPr>
        <w:rFonts w:ascii="LindeDaxOffice Medium" w:hAnsi="LindeDaxOffice Medium"/>
        <w:sz w:val="18"/>
        <w:szCs w:val="18"/>
      </w:rPr>
      <w:t>/202</w:t>
    </w:r>
    <w:r w:rsidR="00B01C13">
      <w:rPr>
        <w:rFonts w:ascii="LindeDaxOffice Medium" w:hAnsi="LindeDaxOffice Medium"/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1B1B8" w14:textId="77777777" w:rsidR="001C5140" w:rsidRDefault="001C5140" w:rsidP="006913A2">
      <w:pPr>
        <w:spacing w:after="0" w:line="240" w:lineRule="auto"/>
      </w:pPr>
      <w:r>
        <w:separator/>
      </w:r>
    </w:p>
  </w:footnote>
  <w:footnote w:type="continuationSeparator" w:id="0">
    <w:p w14:paraId="689B9320" w14:textId="77777777" w:rsidR="001C5140" w:rsidRDefault="001C5140" w:rsidP="006913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ECDD6" w14:textId="7DB34505" w:rsidR="004E74B0" w:rsidRDefault="004E74B0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1780BF6" wp14:editId="202FF667">
          <wp:simplePos x="0" y="0"/>
          <wp:positionH relativeFrom="column">
            <wp:posOffset>5005415</wp:posOffset>
          </wp:positionH>
          <wp:positionV relativeFrom="paragraph">
            <wp:posOffset>-222856</wp:posOffset>
          </wp:positionV>
          <wp:extent cx="1618615" cy="280670"/>
          <wp:effectExtent l="0" t="0" r="635" b="5080"/>
          <wp:wrapTopAndBottom/>
          <wp:docPr id="882347195" name="Picture 882347195" descr="A green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2347195" name="Picture 882347195" descr="A green text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8615" cy="280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zLTpiOoJG1WXaC+fwl13q5Xnko5vBcGQQq0kOUyyp+ReV5Byt/uFNHTe3fVV+/6b3fu93nqSclHybRuGvP8pWg==" w:salt="aGBhntqRJY9FFMOfYTZyB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90B"/>
    <w:rsid w:val="00001602"/>
    <w:rsid w:val="00003BE3"/>
    <w:rsid w:val="00012E3C"/>
    <w:rsid w:val="00013A8D"/>
    <w:rsid w:val="000215A5"/>
    <w:rsid w:val="0003467F"/>
    <w:rsid w:val="0004006E"/>
    <w:rsid w:val="000454C9"/>
    <w:rsid w:val="00056E4D"/>
    <w:rsid w:val="00060781"/>
    <w:rsid w:val="00070B54"/>
    <w:rsid w:val="00083A85"/>
    <w:rsid w:val="0009548B"/>
    <w:rsid w:val="00095FAC"/>
    <w:rsid w:val="000B57F8"/>
    <w:rsid w:val="000D516F"/>
    <w:rsid w:val="000E395E"/>
    <w:rsid w:val="000F71F8"/>
    <w:rsid w:val="00121389"/>
    <w:rsid w:val="00122E68"/>
    <w:rsid w:val="00133E13"/>
    <w:rsid w:val="001623C4"/>
    <w:rsid w:val="001624A7"/>
    <w:rsid w:val="001742EA"/>
    <w:rsid w:val="0018092D"/>
    <w:rsid w:val="00191BE7"/>
    <w:rsid w:val="00191EE5"/>
    <w:rsid w:val="00193BDA"/>
    <w:rsid w:val="001946B8"/>
    <w:rsid w:val="001A75B4"/>
    <w:rsid w:val="001B54CF"/>
    <w:rsid w:val="001B7CEA"/>
    <w:rsid w:val="001C0C33"/>
    <w:rsid w:val="001C5140"/>
    <w:rsid w:val="001F45AA"/>
    <w:rsid w:val="001F7093"/>
    <w:rsid w:val="0020502F"/>
    <w:rsid w:val="0020774E"/>
    <w:rsid w:val="002311B2"/>
    <w:rsid w:val="0023433C"/>
    <w:rsid w:val="00242591"/>
    <w:rsid w:val="00266698"/>
    <w:rsid w:val="00270BEC"/>
    <w:rsid w:val="00275A70"/>
    <w:rsid w:val="00293BFC"/>
    <w:rsid w:val="00295427"/>
    <w:rsid w:val="002A0095"/>
    <w:rsid w:val="002A0387"/>
    <w:rsid w:val="002A185C"/>
    <w:rsid w:val="002A5C4C"/>
    <w:rsid w:val="002D6E64"/>
    <w:rsid w:val="002E504C"/>
    <w:rsid w:val="002F10F2"/>
    <w:rsid w:val="00310151"/>
    <w:rsid w:val="00331F1F"/>
    <w:rsid w:val="003347FE"/>
    <w:rsid w:val="00353FAA"/>
    <w:rsid w:val="00357BE2"/>
    <w:rsid w:val="003633B4"/>
    <w:rsid w:val="00381C30"/>
    <w:rsid w:val="003843B1"/>
    <w:rsid w:val="003847C7"/>
    <w:rsid w:val="003B028A"/>
    <w:rsid w:val="003C7807"/>
    <w:rsid w:val="003F4F0F"/>
    <w:rsid w:val="003F671E"/>
    <w:rsid w:val="004101E0"/>
    <w:rsid w:val="004312B1"/>
    <w:rsid w:val="004448D6"/>
    <w:rsid w:val="00457E7D"/>
    <w:rsid w:val="004719E6"/>
    <w:rsid w:val="00472AD1"/>
    <w:rsid w:val="00472B41"/>
    <w:rsid w:val="00476CD1"/>
    <w:rsid w:val="00485611"/>
    <w:rsid w:val="00493ED4"/>
    <w:rsid w:val="004B3FD0"/>
    <w:rsid w:val="004C2D61"/>
    <w:rsid w:val="004D7213"/>
    <w:rsid w:val="004E2438"/>
    <w:rsid w:val="004E70BB"/>
    <w:rsid w:val="004E74B0"/>
    <w:rsid w:val="00504D5C"/>
    <w:rsid w:val="005246EA"/>
    <w:rsid w:val="00564AA5"/>
    <w:rsid w:val="00564DF0"/>
    <w:rsid w:val="0058381A"/>
    <w:rsid w:val="00585B96"/>
    <w:rsid w:val="0058711F"/>
    <w:rsid w:val="005A37F7"/>
    <w:rsid w:val="005B1833"/>
    <w:rsid w:val="005B2F85"/>
    <w:rsid w:val="005D6B69"/>
    <w:rsid w:val="005D72DF"/>
    <w:rsid w:val="005E7C3F"/>
    <w:rsid w:val="005F521C"/>
    <w:rsid w:val="005F7CA2"/>
    <w:rsid w:val="006035EF"/>
    <w:rsid w:val="00612829"/>
    <w:rsid w:val="00612BFB"/>
    <w:rsid w:val="0062263D"/>
    <w:rsid w:val="006252E2"/>
    <w:rsid w:val="00625915"/>
    <w:rsid w:val="006262B4"/>
    <w:rsid w:val="006329A0"/>
    <w:rsid w:val="00632AEB"/>
    <w:rsid w:val="00636D75"/>
    <w:rsid w:val="00663841"/>
    <w:rsid w:val="00680B07"/>
    <w:rsid w:val="006817F9"/>
    <w:rsid w:val="00687394"/>
    <w:rsid w:val="006913A2"/>
    <w:rsid w:val="00696D05"/>
    <w:rsid w:val="006A0B59"/>
    <w:rsid w:val="006A43A6"/>
    <w:rsid w:val="006A684B"/>
    <w:rsid w:val="006B0614"/>
    <w:rsid w:val="006B62B3"/>
    <w:rsid w:val="006C5662"/>
    <w:rsid w:val="006C5750"/>
    <w:rsid w:val="006C6B59"/>
    <w:rsid w:val="006D3924"/>
    <w:rsid w:val="006E0E88"/>
    <w:rsid w:val="006F7EEF"/>
    <w:rsid w:val="0071560E"/>
    <w:rsid w:val="00716637"/>
    <w:rsid w:val="00716DA9"/>
    <w:rsid w:val="00723C45"/>
    <w:rsid w:val="00733B1D"/>
    <w:rsid w:val="0073448A"/>
    <w:rsid w:val="0074042B"/>
    <w:rsid w:val="00763728"/>
    <w:rsid w:val="0077065B"/>
    <w:rsid w:val="007848DB"/>
    <w:rsid w:val="00790FE8"/>
    <w:rsid w:val="007953C4"/>
    <w:rsid w:val="007965F1"/>
    <w:rsid w:val="007A5FB0"/>
    <w:rsid w:val="007A7C34"/>
    <w:rsid w:val="007B3163"/>
    <w:rsid w:val="007D7F24"/>
    <w:rsid w:val="007E0C64"/>
    <w:rsid w:val="007E1113"/>
    <w:rsid w:val="008148F3"/>
    <w:rsid w:val="00841D8A"/>
    <w:rsid w:val="00844615"/>
    <w:rsid w:val="00845EE3"/>
    <w:rsid w:val="008511D7"/>
    <w:rsid w:val="008513D8"/>
    <w:rsid w:val="008600F2"/>
    <w:rsid w:val="008605DA"/>
    <w:rsid w:val="00883804"/>
    <w:rsid w:val="00885582"/>
    <w:rsid w:val="00885AEC"/>
    <w:rsid w:val="00890DEC"/>
    <w:rsid w:val="008A7DAA"/>
    <w:rsid w:val="008B6391"/>
    <w:rsid w:val="008C4F7B"/>
    <w:rsid w:val="008C7FAB"/>
    <w:rsid w:val="008E290B"/>
    <w:rsid w:val="008F3B2B"/>
    <w:rsid w:val="008F6E67"/>
    <w:rsid w:val="00911C99"/>
    <w:rsid w:val="00947DBB"/>
    <w:rsid w:val="00952199"/>
    <w:rsid w:val="00953DA5"/>
    <w:rsid w:val="009616BF"/>
    <w:rsid w:val="0098530A"/>
    <w:rsid w:val="00997FB0"/>
    <w:rsid w:val="009A5277"/>
    <w:rsid w:val="009C5157"/>
    <w:rsid w:val="009D54C6"/>
    <w:rsid w:val="009E4DAF"/>
    <w:rsid w:val="00A2135F"/>
    <w:rsid w:val="00A22977"/>
    <w:rsid w:val="00A43AEA"/>
    <w:rsid w:val="00A4488E"/>
    <w:rsid w:val="00A65566"/>
    <w:rsid w:val="00A662AB"/>
    <w:rsid w:val="00A673D2"/>
    <w:rsid w:val="00A805FD"/>
    <w:rsid w:val="00A8417B"/>
    <w:rsid w:val="00AB13BC"/>
    <w:rsid w:val="00AB48C6"/>
    <w:rsid w:val="00AB564D"/>
    <w:rsid w:val="00AB56FE"/>
    <w:rsid w:val="00AB62AB"/>
    <w:rsid w:val="00AC1FFF"/>
    <w:rsid w:val="00AC223C"/>
    <w:rsid w:val="00AC7896"/>
    <w:rsid w:val="00B01C13"/>
    <w:rsid w:val="00B30C29"/>
    <w:rsid w:val="00B43332"/>
    <w:rsid w:val="00B8568F"/>
    <w:rsid w:val="00B9294E"/>
    <w:rsid w:val="00B97DB1"/>
    <w:rsid w:val="00BA5F44"/>
    <w:rsid w:val="00BB2416"/>
    <w:rsid w:val="00BD0E5C"/>
    <w:rsid w:val="00BE1F28"/>
    <w:rsid w:val="00BE2C92"/>
    <w:rsid w:val="00BE631E"/>
    <w:rsid w:val="00BF3731"/>
    <w:rsid w:val="00BF7236"/>
    <w:rsid w:val="00BF7CEF"/>
    <w:rsid w:val="00C00152"/>
    <w:rsid w:val="00C078EC"/>
    <w:rsid w:val="00C208C4"/>
    <w:rsid w:val="00C3251E"/>
    <w:rsid w:val="00C33B2C"/>
    <w:rsid w:val="00C42DE7"/>
    <w:rsid w:val="00C734B2"/>
    <w:rsid w:val="00C74B31"/>
    <w:rsid w:val="00C91A79"/>
    <w:rsid w:val="00C934D8"/>
    <w:rsid w:val="00CA4C5C"/>
    <w:rsid w:val="00CB011D"/>
    <w:rsid w:val="00CB021D"/>
    <w:rsid w:val="00CB161E"/>
    <w:rsid w:val="00CB6FBD"/>
    <w:rsid w:val="00CC1954"/>
    <w:rsid w:val="00CC28F6"/>
    <w:rsid w:val="00CC535C"/>
    <w:rsid w:val="00CE0C5F"/>
    <w:rsid w:val="00CF153F"/>
    <w:rsid w:val="00CF3646"/>
    <w:rsid w:val="00D01625"/>
    <w:rsid w:val="00D35393"/>
    <w:rsid w:val="00D35F18"/>
    <w:rsid w:val="00D54060"/>
    <w:rsid w:val="00D561E7"/>
    <w:rsid w:val="00D57453"/>
    <w:rsid w:val="00D6150E"/>
    <w:rsid w:val="00DA0585"/>
    <w:rsid w:val="00DC5D6D"/>
    <w:rsid w:val="00DD23D3"/>
    <w:rsid w:val="00DF3DD0"/>
    <w:rsid w:val="00DF40E2"/>
    <w:rsid w:val="00DF595B"/>
    <w:rsid w:val="00E116B1"/>
    <w:rsid w:val="00E12F0F"/>
    <w:rsid w:val="00E3539E"/>
    <w:rsid w:val="00E63E44"/>
    <w:rsid w:val="00E774B6"/>
    <w:rsid w:val="00E77B57"/>
    <w:rsid w:val="00E82BFC"/>
    <w:rsid w:val="00E91DE6"/>
    <w:rsid w:val="00EA5D35"/>
    <w:rsid w:val="00EB3E6B"/>
    <w:rsid w:val="00EC58FD"/>
    <w:rsid w:val="00ED1513"/>
    <w:rsid w:val="00EE2F3B"/>
    <w:rsid w:val="00EF3061"/>
    <w:rsid w:val="00EF3919"/>
    <w:rsid w:val="00F039C6"/>
    <w:rsid w:val="00F07B0B"/>
    <w:rsid w:val="00F166E7"/>
    <w:rsid w:val="00F21B13"/>
    <w:rsid w:val="00F30106"/>
    <w:rsid w:val="00F336B4"/>
    <w:rsid w:val="00F61021"/>
    <w:rsid w:val="00F63C84"/>
    <w:rsid w:val="00F710FB"/>
    <w:rsid w:val="00F75673"/>
    <w:rsid w:val="00F97919"/>
    <w:rsid w:val="00FB4FC8"/>
    <w:rsid w:val="00FB5355"/>
    <w:rsid w:val="00FD74D6"/>
    <w:rsid w:val="00FE17A8"/>
    <w:rsid w:val="00FE532B"/>
    <w:rsid w:val="00FF6BA5"/>
    <w:rsid w:val="00FF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10064A"/>
  <w15:chartTrackingRefBased/>
  <w15:docId w15:val="{86C26496-2583-4FA5-B701-5288AE722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8F6"/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568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2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B48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48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48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8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8C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12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913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13A2"/>
  </w:style>
  <w:style w:type="paragraph" w:styleId="Footer">
    <w:name w:val="footer"/>
    <w:basedOn w:val="Normal"/>
    <w:link w:val="FooterChar"/>
    <w:uiPriority w:val="99"/>
    <w:unhideWhenUsed/>
    <w:rsid w:val="006913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13A2"/>
  </w:style>
  <w:style w:type="character" w:customStyle="1" w:styleId="Heading5Char">
    <w:name w:val="Heading 5 Char"/>
    <w:basedOn w:val="DefaultParagraphFont"/>
    <w:link w:val="Heading5"/>
    <w:uiPriority w:val="9"/>
    <w:semiHidden/>
    <w:rsid w:val="00B8568F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FE17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17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5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635483159594472183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635483159594472183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635483159594472183</Data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axair Document" ma:contentTypeID="0x0101005332F085960B44D6AE9F21E430192CB90100872A1D93FF673044B244C6FECF66743C" ma:contentTypeVersion="15" ma:contentTypeDescription="Praxair Content Types" ma:contentTypeScope="" ma:versionID="c45bebc04acd77859484e5411a638282">
  <xsd:schema xmlns:xsd="http://www.w3.org/2001/XMLSchema" xmlns:xs="http://www.w3.org/2001/XMLSchema" xmlns:p="http://schemas.microsoft.com/office/2006/metadata/properties" xmlns:ns1="4213deca-91d5-4863-a86b-37f9ba5d141a" xmlns:ns3="http://schemas.microsoft.com/sharepoint/v3/fields" targetNamespace="http://schemas.microsoft.com/office/2006/metadata/properties" ma:root="true" ma:fieldsID="acb979e7e82243b82305d19e93245340" ns1:_="" ns3:_="">
    <xsd:import namespace="4213deca-91d5-4863-a86b-37f9ba5d141a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Para_x0020_qualifica_x00e7__x00e3_o_x0020__x0028_QI_x0020__x002f__x0020_QO_x0029_" minOccurs="0"/>
                <xsd:element ref="ns1:Normas_x0020_Aplic_x00e1_veis" minOccurs="0"/>
                <xsd:element ref="ns1:Revis_x00e3_o"/>
                <xsd:element ref="ns1:Data" minOccurs="0"/>
                <xsd:element ref="ns1:Status" minOccurs="0"/>
                <xsd:element ref="ns1:QI_x002d_QO" minOccurs="0"/>
                <xsd:element ref="ns3:Confidentiality" minOccurs="0"/>
                <xsd:element ref="ns3:Documen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3deca-91d5-4863-a86b-37f9ba5d141a" elementFormDefault="qualified">
    <xsd:import namespace="http://schemas.microsoft.com/office/2006/documentManagement/types"/>
    <xsd:import namespace="http://schemas.microsoft.com/office/infopath/2007/PartnerControls"/>
    <xsd:element name="Para_x0020_qualifica_x00e7__x00e3_o_x0020__x0028_QI_x0020__x002f__x0020_QO_x0029_" ma:index="0" nillable="true" ma:displayName="Para qualificação (QI / QO)" ma:default="Não" ma:format="RadioButtons" ma:internalName="Para_x0020_qualifica_x00e7__x00e3_o_x0020__x0028_QI_x0020__x002f__x0020_QO_x0029_">
      <xsd:simpleType>
        <xsd:restriction base="dms:Choice">
          <xsd:enumeration value="Não"/>
          <xsd:enumeration value="Sim"/>
        </xsd:restriction>
      </xsd:simpleType>
    </xsd:element>
    <xsd:element name="Normas_x0020_Aplic_x00e1_veis" ma:index="2" nillable="true" ma:displayName="Normas Aplicáveis" ma:internalName="Normas_x0020_Aplic_x00e1_veis">
      <xsd:simpleType>
        <xsd:restriction base="dms:Text">
          <xsd:maxLength value="255"/>
        </xsd:restriction>
      </xsd:simpleType>
    </xsd:element>
    <xsd:element name="Revis_x00e3_o" ma:index="4" ma:displayName="Revisão" ma:internalName="Revis_x00e3_o" ma:readOnly="false">
      <xsd:simpleType>
        <xsd:restriction base="dms:Text">
          <xsd:maxLength value="8"/>
        </xsd:restriction>
      </xsd:simpleType>
    </xsd:element>
    <xsd:element name="Data" ma:index="5" nillable="true" ma:displayName="Data" ma:internalName="Data">
      <xsd:simpleType>
        <xsd:restriction base="dms:Text">
          <xsd:maxLength value="8"/>
        </xsd:restriction>
      </xsd:simpleType>
    </xsd:element>
    <xsd:element name="Status" ma:index="6" nillable="true" ma:displayName="Status" ma:default="Vigente" ma:format="RadioButtons" ma:internalName="Status">
      <xsd:simpleType>
        <xsd:restriction base="dms:Choice">
          <xsd:enumeration value="Vigente"/>
          <xsd:enumeration value="Cancelado"/>
        </xsd:restriction>
      </xsd:simpleType>
    </xsd:element>
    <xsd:element name="QI_x002d_QO" ma:index="7" nillable="true" ma:displayName="QI-QO" ma:default="Não" ma:format="RadioButtons" ma:internalName="QI_x002d_QO">
      <xsd:simpleType>
        <xsd:restriction base="dms:Choice">
          <xsd:enumeration value="Não"/>
          <xsd:enumeration value="Sim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Confidentiality" ma:index="8" nillable="true" ma:displayName="Confidentiality" ma:default="Praxair Internal" ma:description="Indicates whether or not this content may be shared outside Praxair.  Praxair Internal means that the document may not be shared with someone who is not a Praxair employee." ma:hidden="true" ma:internalName="Confidentiality" ma:readOnly="false">
      <xsd:simpleType>
        <xsd:restriction base="dms:Choice">
          <xsd:enumeration value="Praxair Internal"/>
          <xsd:enumeration value="High Confidentiality"/>
          <xsd:enumeration value="Public"/>
        </xsd:restriction>
      </xsd:simpleType>
    </xsd:element>
    <xsd:element name="DocumentDescription" ma:index="14" nillable="true" ma:displayName="Document Description" ma:description="Description of the document, if not obvious from the name.  Limited to 255 characters, including spaces." ma:hidden="true" ma:internalName="DocumentDescription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Tipo de Conteúdo"/>
        <xsd:element ref="dc:title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I_x002d_QO xmlns="4213deca-91d5-4863-a86b-37f9ba5d141a">Não</QI_x002d_QO>
    <Confidentiality xmlns="http://schemas.microsoft.com/sharepoint/v3/fields">Praxair Internal</Confidentiality>
    <Status xmlns="4213deca-91d5-4863-a86b-37f9ba5d141a">Vigente</Status>
    <Normas_x0020_Aplic_x00e1_veis xmlns="4213deca-91d5-4863-a86b-37f9ba5d141a">NQ 10059</Normas_x0020_Aplic_x00e1_veis>
    <Revis_x00e3_o xmlns="4213deca-91d5-4863-a86b-37f9ba5d141a">02</Revis_x00e3_o>
    <Para_x0020_qualifica_x00e7__x00e3_o_x0020__x0028_QI_x0020__x002f__x0020_QO_x0029_ xmlns="4213deca-91d5-4863-a86b-37f9ba5d141a">Não</Para_x0020_qualifica_x00e7__x00e3_o_x0020__x0028_QI_x0020__x002f__x0020_QO_x0029_>
    <Data xmlns="4213deca-91d5-4863-a86b-37f9ba5d141a">06/2026</Data>
    <DocumentDescription xmlns="http://schemas.microsoft.com/sharepoint/v3/fields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09D3C7-6FEA-4F31-BAB3-67ADD8965C5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02C0D5C-C914-42BD-8912-0E27D39D6F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13deca-91d5-4863-a86b-37f9ba5d141a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A3A7E5-F99A-43D3-BA8A-DD6DF43111FC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sharepoint/v3/fields"/>
    <ds:schemaRef ds:uri="http://purl.org/dc/terms/"/>
    <ds:schemaRef ds:uri="http://schemas.microsoft.com/office/2006/metadata/properties"/>
    <ds:schemaRef ds:uri="4213deca-91d5-4863-a86b-37f9ba5d141a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8C6D9B3-E328-4DA9-B753-BEEECB6B0A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1345</Words>
  <Characters>7265</Characters>
  <Application>Microsoft Office Word</Application>
  <DocSecurity>12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Técnica – Texto do Rótulo – Folheto Informativo – Oxigênio Líquido Criogênico Medicinal</dc:title>
  <dc:subject/>
  <dc:creator>Thiago Martins</dc:creator>
  <cp:keywords/>
  <dc:description/>
  <cp:lastModifiedBy>Julia Costa</cp:lastModifiedBy>
  <cp:revision>2</cp:revision>
  <dcterms:created xsi:type="dcterms:W3CDTF">2026-06-15T13:47:00Z</dcterms:created>
  <dcterms:modified xsi:type="dcterms:W3CDTF">2026-06-15T13:47:00Z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0x0101005332F085960B44D6AE9F21E430192CB90100872A1D93FF673044B244C6FECF66743C</vt:lpwstr>
  </property>
  <property fmtid="{D5CDD505-2E9C-101B-9397-08002B2CF9AE}" pid="3" name="MediaServiceImageTags">
    <vt:lpwstr/>
  </property>
</Properties>
</file>