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F93C" w14:textId="2FE8A1BF" w:rsidR="00272122" w:rsidRPr="0021221E" w:rsidRDefault="0094410F" w:rsidP="00272122">
      <w:pPr>
        <w:rPr>
          <w:rFonts w:ascii="LindeDaxOffice Medium" w:hAnsi="LindeDaxOffice Medium"/>
          <w:b/>
          <w:bCs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442BF89A" w14:textId="10CCE3D3" w:rsidR="00B7649C" w:rsidRPr="0021221E" w:rsidRDefault="002B37A4" w:rsidP="00B7649C">
      <w:pPr>
        <w:rPr>
          <w:rFonts w:ascii="LindeDaxOffice Medium" w:hAnsi="LindeDaxOffice Medium"/>
          <w:b/>
          <w:bCs/>
        </w:rPr>
      </w:pPr>
      <w:r w:rsidRPr="0021221E">
        <w:rPr>
          <w:rFonts w:ascii="LindeDaxOffice Medium" w:hAnsi="LindeDaxOffice Medium"/>
          <w:b/>
          <w:bCs/>
        </w:rPr>
        <w:t>Dióxido de Carbono Medicinal</w:t>
      </w:r>
      <w:r w:rsidR="00824E23">
        <w:rPr>
          <w:rFonts w:ascii="LindeDaxOffice Medium" w:hAnsi="LindeDaxOffice Medium"/>
          <w:b/>
          <w:bCs/>
        </w:rPr>
        <w:t xml:space="preserve"> (CO</w:t>
      </w:r>
      <w:r w:rsidR="00824E23" w:rsidRPr="00824E23">
        <w:rPr>
          <w:rFonts w:ascii="LindeDaxOffice Medium" w:hAnsi="LindeDaxOffice Medium"/>
          <w:b/>
          <w:bCs/>
          <w:vertAlign w:val="subscript"/>
        </w:rPr>
        <w:t>2</w:t>
      </w:r>
      <w:r w:rsidR="00824E23">
        <w:rPr>
          <w:rFonts w:ascii="LindeDaxOffice Medium" w:hAnsi="LindeDaxOffice Medium"/>
          <w:b/>
          <w:bCs/>
        </w:rPr>
        <w:t>)</w:t>
      </w:r>
      <w:r w:rsidR="0021221E" w:rsidRPr="0021221E">
        <w:rPr>
          <w:rFonts w:ascii="LindeDaxOffice Medium" w:hAnsi="LindeDaxOffice Medium"/>
          <w:b/>
          <w:bCs/>
        </w:rPr>
        <w:t>, ONU 1013</w:t>
      </w:r>
      <w:r w:rsidR="00B7649C">
        <w:rPr>
          <w:rFonts w:ascii="LindeDaxOffice Medium" w:hAnsi="LindeDaxOffice Medium"/>
          <w:b/>
          <w:bCs/>
        </w:rPr>
        <w:t xml:space="preserve">, </w:t>
      </w:r>
      <w:r w:rsidR="00B7649C" w:rsidRPr="0021221E">
        <w:rPr>
          <w:rFonts w:ascii="LindeDaxOffice Medium" w:hAnsi="LindeDaxOffice Medium"/>
          <w:b/>
          <w:bCs/>
        </w:rPr>
        <w:t>Conexão ABNT 209-1</w:t>
      </w:r>
    </w:p>
    <w:p w14:paraId="5420E2CA" w14:textId="0DACBE20" w:rsidR="00E05F9E" w:rsidRPr="0021221E" w:rsidRDefault="0098404C" w:rsidP="001607BE">
      <w:pPr>
        <w:spacing w:after="0"/>
        <w:rPr>
          <w:rFonts w:ascii="LindeDaxOffice Medium" w:hAnsi="LindeDaxOffice Medium"/>
          <w:strike/>
        </w:rPr>
      </w:pPr>
      <w:r w:rsidRPr="0021221E">
        <w:rPr>
          <w:rFonts w:ascii="LindeDaxOffice Medium" w:hAnsi="LindeDaxOffice Medium"/>
          <w:b/>
          <w:bCs/>
        </w:rPr>
        <w:t xml:space="preserve">Composição do </w:t>
      </w:r>
      <w:r w:rsidR="00B7649C" w:rsidRPr="0021221E">
        <w:rPr>
          <w:rFonts w:ascii="LindeDaxOffice Medium" w:hAnsi="LindeDaxOffice Medium"/>
          <w:b/>
          <w:bCs/>
        </w:rPr>
        <w:t>Gás Medicinal</w:t>
      </w:r>
      <w:r w:rsidR="00E05F9E" w:rsidRPr="0021221E">
        <w:rPr>
          <w:rFonts w:ascii="LindeDaxOffice Medium" w:hAnsi="LindeDaxOffice Medium"/>
          <w:b/>
          <w:bCs/>
        </w:rPr>
        <w:t xml:space="preserve">: </w:t>
      </w:r>
      <w:r w:rsidR="00E05F9E" w:rsidRPr="00177E2C">
        <w:rPr>
          <w:rFonts w:ascii="LindeDaxOffice Medium" w:hAnsi="LindeDaxOffice Medium"/>
        </w:rPr>
        <w:t>99% vol/vol (mínimo)</w:t>
      </w:r>
    </w:p>
    <w:tbl>
      <w:tblPr>
        <w:tblStyle w:val="TableGrid"/>
        <w:tblpPr w:leftFromText="141" w:rightFromText="141" w:vertAnchor="text" w:horzAnchor="margin" w:tblpY="292"/>
        <w:tblW w:w="10051" w:type="dxa"/>
        <w:tblLook w:val="04A0" w:firstRow="1" w:lastRow="0" w:firstColumn="1" w:lastColumn="0" w:noHBand="0" w:noVBand="1"/>
      </w:tblPr>
      <w:tblGrid>
        <w:gridCol w:w="2640"/>
        <w:gridCol w:w="759"/>
        <w:gridCol w:w="759"/>
        <w:gridCol w:w="759"/>
        <w:gridCol w:w="759"/>
        <w:gridCol w:w="639"/>
        <w:gridCol w:w="639"/>
        <w:gridCol w:w="692"/>
        <w:gridCol w:w="639"/>
        <w:gridCol w:w="1766"/>
      </w:tblGrid>
      <w:tr w:rsidR="0022587B" w:rsidRPr="0021221E" w14:paraId="360AD123" w14:textId="61DE4A6F" w:rsidTr="0022587B">
        <w:tc>
          <w:tcPr>
            <w:tcW w:w="2640" w:type="dxa"/>
          </w:tcPr>
          <w:p w14:paraId="0CA9370D" w14:textId="77777777" w:rsidR="0022587B" w:rsidRPr="0021221E" w:rsidRDefault="0022587B" w:rsidP="0089274D">
            <w:pPr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Tipo de cilindro</w:t>
            </w:r>
          </w:p>
        </w:tc>
        <w:tc>
          <w:tcPr>
            <w:tcW w:w="759" w:type="dxa"/>
          </w:tcPr>
          <w:p w14:paraId="52B1B521" w14:textId="312137C2" w:rsidR="0022587B" w:rsidRPr="0021221E" w:rsidRDefault="0022587B" w:rsidP="001607BE">
            <w:pPr>
              <w:ind w:left="708" w:hanging="708"/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T</w:t>
            </w:r>
          </w:p>
        </w:tc>
        <w:tc>
          <w:tcPr>
            <w:tcW w:w="759" w:type="dxa"/>
          </w:tcPr>
          <w:p w14:paraId="067E90CD" w14:textId="6264E4BB" w:rsidR="0022587B" w:rsidRPr="0021221E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K</w:t>
            </w:r>
          </w:p>
        </w:tc>
        <w:tc>
          <w:tcPr>
            <w:tcW w:w="759" w:type="dxa"/>
          </w:tcPr>
          <w:p w14:paraId="4085CBD5" w14:textId="53A7B48F" w:rsidR="0022587B" w:rsidRPr="0021221E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Q</w:t>
            </w:r>
          </w:p>
        </w:tc>
        <w:tc>
          <w:tcPr>
            <w:tcW w:w="759" w:type="dxa"/>
          </w:tcPr>
          <w:p w14:paraId="0DA06E7B" w14:textId="08429AC5" w:rsidR="0022587B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Q</w:t>
            </w:r>
          </w:p>
        </w:tc>
        <w:tc>
          <w:tcPr>
            <w:tcW w:w="639" w:type="dxa"/>
          </w:tcPr>
          <w:p w14:paraId="0A519D79" w14:textId="124BFD57" w:rsidR="0022587B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F</w:t>
            </w:r>
          </w:p>
        </w:tc>
        <w:tc>
          <w:tcPr>
            <w:tcW w:w="639" w:type="dxa"/>
          </w:tcPr>
          <w:p w14:paraId="67E98F88" w14:textId="3C61ADB4" w:rsidR="0022587B" w:rsidRPr="0021221E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G</w:t>
            </w:r>
          </w:p>
        </w:tc>
        <w:tc>
          <w:tcPr>
            <w:tcW w:w="692" w:type="dxa"/>
          </w:tcPr>
          <w:p w14:paraId="0634367E" w14:textId="2F4936C0" w:rsidR="0022587B" w:rsidRPr="0021221E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3kg</w:t>
            </w:r>
          </w:p>
        </w:tc>
        <w:tc>
          <w:tcPr>
            <w:tcW w:w="639" w:type="dxa"/>
          </w:tcPr>
          <w:p w14:paraId="1C1B2A56" w14:textId="26C63E44" w:rsidR="0022587B" w:rsidRPr="0021221E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P</w:t>
            </w:r>
          </w:p>
        </w:tc>
        <w:tc>
          <w:tcPr>
            <w:tcW w:w="1766" w:type="dxa"/>
          </w:tcPr>
          <w:p w14:paraId="27DA5F37" w14:textId="1EDF5623" w:rsidR="0022587B" w:rsidRDefault="0022587B" w:rsidP="001607BE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PP</w:t>
            </w:r>
          </w:p>
        </w:tc>
      </w:tr>
      <w:tr w:rsidR="0022587B" w:rsidRPr="0021221E" w14:paraId="27835229" w14:textId="79CC4555" w:rsidTr="0022587B">
        <w:tc>
          <w:tcPr>
            <w:tcW w:w="2640" w:type="dxa"/>
          </w:tcPr>
          <w:p w14:paraId="5805F3B8" w14:textId="77777777" w:rsidR="0022587B" w:rsidRPr="0021221E" w:rsidRDefault="0022587B" w:rsidP="0089274D">
            <w:pPr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Quantidade Líquida (kg)</w:t>
            </w:r>
          </w:p>
        </w:tc>
        <w:tc>
          <w:tcPr>
            <w:tcW w:w="759" w:type="dxa"/>
          </w:tcPr>
          <w:p w14:paraId="7763C909" w14:textId="14FBD2D2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33</w:t>
            </w:r>
            <w:r>
              <w:rPr>
                <w:rFonts w:ascii="LindeDaxOffice Medium" w:hAnsi="LindeDaxOffice Medium"/>
              </w:rPr>
              <w:t>,0</w:t>
            </w:r>
          </w:p>
        </w:tc>
        <w:tc>
          <w:tcPr>
            <w:tcW w:w="759" w:type="dxa"/>
          </w:tcPr>
          <w:p w14:paraId="4A244D63" w14:textId="77777777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25,0</w:t>
            </w:r>
          </w:p>
        </w:tc>
        <w:tc>
          <w:tcPr>
            <w:tcW w:w="759" w:type="dxa"/>
          </w:tcPr>
          <w:p w14:paraId="6DB9B730" w14:textId="77777777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14,0</w:t>
            </w:r>
          </w:p>
        </w:tc>
        <w:tc>
          <w:tcPr>
            <w:tcW w:w="759" w:type="dxa"/>
          </w:tcPr>
          <w:p w14:paraId="62C3E003" w14:textId="116D56C4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13,0</w:t>
            </w:r>
          </w:p>
        </w:tc>
        <w:tc>
          <w:tcPr>
            <w:tcW w:w="639" w:type="dxa"/>
          </w:tcPr>
          <w:p w14:paraId="7C67EC2C" w14:textId="3BCF1456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6,8</w:t>
            </w:r>
          </w:p>
        </w:tc>
        <w:tc>
          <w:tcPr>
            <w:tcW w:w="639" w:type="dxa"/>
          </w:tcPr>
          <w:p w14:paraId="08B59FAE" w14:textId="073AF8D0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4,5</w:t>
            </w:r>
          </w:p>
        </w:tc>
        <w:tc>
          <w:tcPr>
            <w:tcW w:w="692" w:type="dxa"/>
          </w:tcPr>
          <w:p w14:paraId="3ABB97C6" w14:textId="77777777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3,0</w:t>
            </w:r>
          </w:p>
        </w:tc>
        <w:tc>
          <w:tcPr>
            <w:tcW w:w="639" w:type="dxa"/>
          </w:tcPr>
          <w:p w14:paraId="49BA5E4C" w14:textId="77777777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2,0</w:t>
            </w:r>
          </w:p>
        </w:tc>
        <w:tc>
          <w:tcPr>
            <w:tcW w:w="1766" w:type="dxa"/>
          </w:tcPr>
          <w:p w14:paraId="2C8CBC1A" w14:textId="0590A751" w:rsidR="0022587B" w:rsidRPr="0021221E" w:rsidRDefault="0022587B" w:rsidP="0089274D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Cilindro Cliente</w:t>
            </w:r>
          </w:p>
        </w:tc>
      </w:tr>
    </w:tbl>
    <w:p w14:paraId="4C11694F" w14:textId="77777777" w:rsidR="0098404C" w:rsidRDefault="0098404C" w:rsidP="00E05F9E">
      <w:pPr>
        <w:rPr>
          <w:rFonts w:ascii="LindeDaxOffice Medium" w:hAnsi="LindeDaxOffice Medium"/>
          <w:b/>
          <w:bCs/>
        </w:rPr>
      </w:pPr>
    </w:p>
    <w:p w14:paraId="25A7CA6D" w14:textId="77777777" w:rsidR="001607BE" w:rsidRDefault="001607BE" w:rsidP="001607BE">
      <w:pPr>
        <w:spacing w:after="0"/>
        <w:rPr>
          <w:rFonts w:ascii="LindeDaxOffice Medium" w:hAnsi="LindeDaxOffice Medium"/>
        </w:rPr>
      </w:pPr>
    </w:p>
    <w:p w14:paraId="5DFEB499" w14:textId="77777777" w:rsidR="007C076E" w:rsidRPr="0021221E" w:rsidRDefault="007C076E" w:rsidP="007C076E">
      <w:pPr>
        <w:rPr>
          <w:rFonts w:ascii="LindeDaxOffice Medium" w:hAnsi="LindeDaxOffice Medium"/>
          <w:strike/>
        </w:rPr>
      </w:pPr>
      <w:r w:rsidRPr="0021221E">
        <w:rPr>
          <w:rFonts w:ascii="LindeDaxOffice Medium" w:hAnsi="LindeDaxOffice Medium"/>
          <w:b/>
          <w:bCs/>
        </w:rPr>
        <w:t>Via de Administração: Insuflação</w:t>
      </w:r>
      <w:r w:rsidRPr="0021221E">
        <w:rPr>
          <w:rFonts w:ascii="LindeDaxOffice Medium" w:hAnsi="LindeDaxOffice Medium"/>
        </w:rPr>
        <w:t xml:space="preserve">: deve ser feita por um sistema de insuflação controlado, automaticamente, quanto ao fluxo do gás e da pressão na cavidade insuflada. A quantidade de gás, a velocidade e a duração devem ser adaptadas individualmente pelo médico responsável. Deve-se buscar a menor pressão efetiva que permita a visualização adequada do campo cirúrgico. Deve-se garantir que o dióxido de carbono seja suficientemente aquecido e umedecido. O risco de desenvolver hipercapnia deve ser avaliado. Quando usado para geração de imagens, o fornecimento de gás deve ser feito com um dispositivo dedicado para uso com dióxido de carbono como meio de contraste. </w:t>
      </w:r>
      <w:r w:rsidRPr="0021221E">
        <w:rPr>
          <w:rFonts w:ascii="LindeDaxOffice Medium" w:hAnsi="LindeDaxOffice Medium"/>
          <w:b/>
          <w:bCs/>
        </w:rPr>
        <w:t xml:space="preserve">Inalação: </w:t>
      </w:r>
      <w:r w:rsidRPr="0021221E">
        <w:rPr>
          <w:rFonts w:ascii="LindeDaxOffice Medium" w:hAnsi="LindeDaxOffice Medium"/>
        </w:rPr>
        <w:t>a dose recomendada é de 5% a 8% de dióxido de carbono em oxigênio. A quantidade, a frequência e a duração do tratamento devem ser adaptados individualmente pelo médico responsável. Deve ser administrado por um especialista em equipamento específico usado em anestesia.</w:t>
      </w:r>
    </w:p>
    <w:p w14:paraId="1F567D20" w14:textId="4F3C7447" w:rsidR="00B60ABC" w:rsidRPr="0021221E" w:rsidRDefault="00B60ABC" w:rsidP="00B60ABC">
      <w:pPr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21221E">
        <w:rPr>
          <w:rFonts w:ascii="LindeDaxOffice Medium" w:hAnsi="LindeDaxOffice Medium"/>
          <w:b/>
          <w:bCs/>
        </w:rPr>
        <w:t>Lote e Data de Fabricação:</w:t>
      </w:r>
      <w:r w:rsidRPr="0021221E">
        <w:rPr>
          <w:rFonts w:ascii="LindeDaxOffice Medium" w:hAnsi="LindeDaxOffice Medium"/>
        </w:rPr>
        <w:t xml:space="preserve"> Consultar etiqueta adicional no cilindro</w:t>
      </w:r>
    </w:p>
    <w:p w14:paraId="32588621" w14:textId="381ADFFF" w:rsidR="00E05F9E" w:rsidRPr="0021221E" w:rsidRDefault="00E05F9E" w:rsidP="00E05F9E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 xml:space="preserve">Prazo de </w:t>
      </w:r>
      <w:r w:rsidR="00A7555C" w:rsidRPr="0021221E">
        <w:rPr>
          <w:rFonts w:ascii="LindeDaxOffice Medium" w:hAnsi="LindeDaxOffice Medium"/>
          <w:b/>
          <w:bCs/>
        </w:rPr>
        <w:t>Validade</w:t>
      </w:r>
      <w:r w:rsidRPr="0021221E">
        <w:rPr>
          <w:rFonts w:ascii="LindeDaxOffice Medium" w:hAnsi="LindeDaxOffice Medium"/>
          <w:b/>
          <w:bCs/>
        </w:rPr>
        <w:t>:</w:t>
      </w:r>
      <w:r w:rsidRPr="0021221E">
        <w:rPr>
          <w:rFonts w:ascii="LindeDaxOffice Medium" w:hAnsi="LindeDaxOffice Medium"/>
        </w:rPr>
        <w:t xml:space="preserve"> </w:t>
      </w:r>
      <w:r w:rsidR="0022587B">
        <w:rPr>
          <w:rFonts w:ascii="LindeDaxOffice Medium" w:hAnsi="LindeDaxOffice Medium"/>
        </w:rPr>
        <w:t>3</w:t>
      </w:r>
      <w:r w:rsidRPr="0021221E">
        <w:rPr>
          <w:rFonts w:ascii="LindeDaxOffice Medium" w:hAnsi="LindeDaxOffice Medium"/>
        </w:rPr>
        <w:t xml:space="preserve"> anos a partir da data de fabricação</w:t>
      </w:r>
    </w:p>
    <w:p w14:paraId="602003C6" w14:textId="4C3FEE1C" w:rsidR="008A04FA" w:rsidRPr="0021221E" w:rsidRDefault="007359B3" w:rsidP="00E05F9E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Indicações</w:t>
      </w:r>
      <w:r w:rsidR="008A04FA" w:rsidRPr="0021221E">
        <w:rPr>
          <w:rFonts w:ascii="LindeDaxOffice Medium" w:hAnsi="LindeDaxOffice Medium"/>
          <w:b/>
          <w:bCs/>
        </w:rPr>
        <w:t>:</w:t>
      </w:r>
      <w:r w:rsidR="008A04FA" w:rsidRPr="0021221E">
        <w:rPr>
          <w:rFonts w:ascii="LindeDaxOffice Medium" w:hAnsi="LindeDaxOffice Medium"/>
        </w:rPr>
        <w:t xml:space="preserve"> como gás de insuflamento de cavidades corporais em procedimentos clínicos. Prevenção e tratamento da hipocapnia causada por hiperventilação.</w:t>
      </w:r>
    </w:p>
    <w:p w14:paraId="15F4B6D9" w14:textId="77777777" w:rsidR="00537D2D" w:rsidRDefault="00537D2D" w:rsidP="00537D2D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Contraindicações:</w:t>
      </w:r>
      <w:r w:rsidRPr="0021221E">
        <w:rPr>
          <w:rFonts w:ascii="LindeDaxOffice Medium" w:hAnsi="LindeDaxOffice Medium"/>
        </w:rPr>
        <w:t xml:space="preserve"> pacientes com acidose ou obstrução respiratória.</w:t>
      </w:r>
    </w:p>
    <w:p w14:paraId="14107393" w14:textId="0D98DD83" w:rsidR="00B6446C" w:rsidRPr="0021221E" w:rsidRDefault="00B6446C" w:rsidP="00537D2D">
      <w:pPr>
        <w:jc w:val="both"/>
        <w:rPr>
          <w:rFonts w:ascii="LindeDaxOffice Medium" w:hAnsi="LindeDaxOffice Medium"/>
        </w:rPr>
      </w:pPr>
      <w:r w:rsidRPr="00B6446C">
        <w:rPr>
          <w:rFonts w:ascii="LindeDaxOffice Medium" w:hAnsi="LindeDaxOffice Medium"/>
          <w:b/>
          <w:bCs/>
        </w:rPr>
        <w:t>Perigo:</w:t>
      </w:r>
      <w:r w:rsidRPr="00B6446C">
        <w:rPr>
          <w:rFonts w:ascii="LindeDaxOffice Medium" w:hAnsi="LindeDaxOffice Medium"/>
        </w:rPr>
        <w:t xml:space="preserve"> Contém gás sob pressão; pode explodir sob a ação do calor; mantenha ao abrigo da luz solar; armazene em local bem ventilado.</w:t>
      </w:r>
    </w:p>
    <w:p w14:paraId="3BA891DC" w14:textId="77777777" w:rsidR="00086614" w:rsidRPr="0021221E" w:rsidRDefault="00086614" w:rsidP="00086614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Precauções:</w:t>
      </w:r>
      <w:r w:rsidRPr="0021221E">
        <w:rPr>
          <w:rFonts w:ascii="LindeDaxOffice Medium" w:hAnsi="LindeDaxOffice Medium"/>
        </w:rPr>
        <w:t xml:space="preserve"> O vazamento de dióxido de carbono medicinal em ambientes mal ventilados pode ocasionar tontura, sonolência ou vertigem, narcose, asfixia e morte por falta de oxigênio. Armazene em local bem ventilado. </w:t>
      </w:r>
    </w:p>
    <w:p w14:paraId="6EC22E92" w14:textId="77777777" w:rsidR="00F538A2" w:rsidRPr="0021221E" w:rsidRDefault="00F538A2" w:rsidP="00F538A2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Reações Adversas:</w:t>
      </w:r>
      <w:r w:rsidRPr="0021221E">
        <w:rPr>
          <w:rFonts w:ascii="LindeDaxOffice Medium" w:hAnsi="LindeDaxOffice Medium"/>
        </w:rPr>
        <w:t xml:space="preserve"> O dióxido de carbono medicinal pode causar acidose respiratória, dor de cabeça, tontura, confusão, palpitações, hipertensão, dispneia, aumento da respiração e depressão do sistema nervoso central. Altas concentrações podem, ainda, causar convulsões e perda de consciência. Na insuflação, os efeitos colaterais mais graves são embolia gasosa (CO2), retenção de dióxido de carbono e isquemia intestinal.</w:t>
      </w:r>
    </w:p>
    <w:p w14:paraId="1E202A97" w14:textId="77777777" w:rsidR="00B90724" w:rsidRPr="0021221E" w:rsidRDefault="00B90724" w:rsidP="00B90724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Interações Medicamentosas:</w:t>
      </w:r>
      <w:r w:rsidRPr="0021221E">
        <w:rPr>
          <w:rFonts w:ascii="LindeDaxOffice Medium" w:hAnsi="LindeDaxOffice Medium"/>
        </w:rPr>
        <w:t xml:space="preserve"> O dióxido de carbono medicinal interage com agentes anestésicos inalatórios em altas concentrações e causa arritmia. Durante a administração concomitante de fármacos ativos no SNC (por exemplo, analgésicos e anestésicos), a estimulação dos centros respiratórios pode ser insuficiente devido à ingestão de dióxido de carbono. Esse risco existe especialmente em pacientes com hipercapnia. A inalação de dióxido de carbono pode influenciar a dosagem e o efeito de relaxantes musculares e anti-hipertensivos.</w:t>
      </w:r>
    </w:p>
    <w:p w14:paraId="18CD7AC0" w14:textId="77777777" w:rsidR="00D837A7" w:rsidRPr="0021221E" w:rsidRDefault="00D837A7" w:rsidP="00D837A7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Linha de Produção:</w:t>
      </w:r>
      <w:r w:rsidRPr="0021221E">
        <w:rPr>
          <w:rFonts w:ascii="LindeDaxOffice Medium" w:hAnsi="LindeDaxOffice Medium"/>
        </w:rPr>
        <w:t xml:space="preserve"> Gás medicinal, liquefeito. </w:t>
      </w:r>
    </w:p>
    <w:p w14:paraId="7ED39F1D" w14:textId="7A51C1ED" w:rsidR="00CF305B" w:rsidRPr="0021221E" w:rsidRDefault="007359B3" w:rsidP="00CF305B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Posologia e Administração</w:t>
      </w:r>
      <w:r w:rsidR="00CF305B" w:rsidRPr="0021221E">
        <w:rPr>
          <w:rFonts w:ascii="LindeDaxOffice Medium" w:hAnsi="LindeDaxOffice Medium"/>
          <w:b/>
          <w:bCs/>
        </w:rPr>
        <w:t xml:space="preserve">: </w:t>
      </w:r>
      <w:r w:rsidR="00CF305B" w:rsidRPr="0021221E">
        <w:rPr>
          <w:rFonts w:ascii="LindeDaxOffice Medium" w:hAnsi="LindeDaxOffice Medium"/>
        </w:rPr>
        <w:t xml:space="preserve">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</w:t>
      </w:r>
      <w:r w:rsidR="00CF305B" w:rsidRPr="0021221E">
        <w:rPr>
          <w:rFonts w:ascii="LindeDaxOffice Medium" w:hAnsi="LindeDaxOffice Medium"/>
        </w:rPr>
        <w:lastRenderedPageBreak/>
        <w:t>a fim de evitar asfixia. Para uso domiciliar, o paciente deve receber treinamento completo sobre o uso do gás medicinal e equipamentos.</w:t>
      </w:r>
    </w:p>
    <w:p w14:paraId="5339553D" w14:textId="736AD284" w:rsidR="007334ED" w:rsidRPr="0021221E" w:rsidRDefault="007359B3" w:rsidP="00477089">
      <w:pPr>
        <w:jc w:val="both"/>
        <w:rPr>
          <w:rFonts w:ascii="LindeDaxOffice Medium" w:hAnsi="LindeDaxOffice Medium"/>
        </w:rPr>
      </w:pPr>
      <w:r w:rsidRPr="0021221E">
        <w:rPr>
          <w:rFonts w:ascii="LindeDaxOffice Medium" w:hAnsi="LindeDaxOffice Medium"/>
          <w:b/>
          <w:bCs/>
        </w:rPr>
        <w:t>Manuseio e Armazenamento</w:t>
      </w:r>
      <w:r w:rsidR="00E05F9E" w:rsidRPr="0021221E">
        <w:rPr>
          <w:rFonts w:ascii="LindeDaxOffice Medium" w:hAnsi="LindeDaxOffice Medium"/>
          <w:b/>
          <w:bCs/>
        </w:rPr>
        <w:t xml:space="preserve">: </w:t>
      </w:r>
      <w:bookmarkStart w:id="0" w:name="_Hlk115961174"/>
      <w:r w:rsidR="00846312" w:rsidRPr="0021221E">
        <w:rPr>
          <w:rFonts w:ascii="LindeDaxOffice Medium" w:hAnsi="LindeDaxOffice Medium"/>
        </w:rPr>
        <w:t>Os cilindros devem ser mantidos secos e limpos, armazenados em temperaturas de -40°C a + 52°C, fixados na posição vertical em área limpa, bem ventilada, protegidos da chuva, de substâncias inflamáveis, de choques, de quedas, de altas temperaturas e de fontes de ignição. Só deve ser administrado por pessoal treinado. É necessário o uso de roupas de proteção adequadas (óculos de segurança e luvas) no manuseio e uso do dióxido de carbono medicinal líquido. O gás pode se liquefazer novamente com abertura repentina da válvula e causar necrose. Não utilizar óleo ou graxa para conectar ou desemperrar os dispositivos ao cilindro. Contém gás sob pressão; pode explodir sob ação do calor. Havendo problemas no conjunto válvula/regulador ou durante a limpeza, verificar a compatibilidade dos produtos utilizados. Não manusear os cilindros segurando-os por sua válvula, use sempre o capacete. Não arrastar ou rolar os cilindros pelo chão. Não submeter os cilindros a pancadas mecânicas, golpes ou quedas, ou equipamentos energizados. Quando os cilindros forem instalados em sistemas centralizados, utilizar válvula de retenção na linha de saída para impedir o retorno do gás medicinal para o cilindro. Verificar a identificação do gás medicinal, pressão e compatibilidade dos dispositivos antes de fazer a ligação do cilindro ao sistema. Cilindros de gases diferentes, cheios e vazios, devem ser armazenados separadamente, transportados em equipamento apropriado com as válvulas fechadas e possuir um lacre involado</w:t>
      </w:r>
      <w:r w:rsidR="00152363" w:rsidRPr="0021221E">
        <w:rPr>
          <w:rFonts w:ascii="LindeDaxOffice Medium" w:hAnsi="LindeDaxOffice Medium"/>
        </w:rPr>
        <w:t xml:space="preserve"> e rótulo legível</w:t>
      </w:r>
      <w:r w:rsidR="00846312" w:rsidRPr="0021221E">
        <w:rPr>
          <w:rFonts w:ascii="LindeDaxOffice Medium" w:hAnsi="LindeDaxOffice Medium"/>
        </w:rPr>
        <w:t xml:space="preserve">. </w:t>
      </w:r>
      <w:r w:rsidR="00556FF8" w:rsidRPr="0021221E">
        <w:rPr>
          <w:rFonts w:ascii="LindeDaxOffice Medium" w:hAnsi="LindeDaxOffice Medium"/>
        </w:rPr>
        <w:t xml:space="preserve">Manusear sempre com as mãos limpas e sem gordura (não use creme para rosto ou mãos, protetores labiais ou batom). </w:t>
      </w:r>
      <w:r w:rsidR="00846312" w:rsidRPr="0021221E">
        <w:rPr>
          <w:rFonts w:ascii="LindeDaxOffice Medium" w:hAnsi="LindeDaxOffice Medium"/>
        </w:rPr>
        <w:t>Antes da utilização, certifique-se de que resta quantidade suficiente de produto para permitir a conclusão da administração planejada. Utilize apenas dispositivos compatíveis e normalizados, concebidos para a administração do medicamento.</w:t>
      </w:r>
    </w:p>
    <w:bookmarkEnd w:id="0"/>
    <w:p w14:paraId="46F75B3B" w14:textId="77777777" w:rsidR="00AB3081" w:rsidRPr="0021221E" w:rsidRDefault="00AB3081" w:rsidP="00AB3081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27BB6AB1" w14:textId="77777777" w:rsidR="00A0013E" w:rsidRPr="0021221E" w:rsidRDefault="00A0013E" w:rsidP="00A0013E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597E35CF" w14:textId="77777777" w:rsidR="00924A91" w:rsidRPr="0021221E" w:rsidRDefault="00924A91" w:rsidP="00924A91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</w:rPr>
        <w:t>TODO MEDICAMENTO DEVE SER MANTIDO FORA DO ALCANCE DAS CRIANÇAS</w:t>
      </w:r>
    </w:p>
    <w:p w14:paraId="0A13BDCC" w14:textId="77777777" w:rsidR="001607BE" w:rsidRPr="0021221E" w:rsidRDefault="001607BE" w:rsidP="001607BE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</w:rPr>
        <w:t>Uso sob prescrição médica. Produto exclusivamente de uso medicinal.</w:t>
      </w:r>
    </w:p>
    <w:p w14:paraId="272FB210" w14:textId="5EA80DB6" w:rsidR="00A77D11" w:rsidRPr="0021221E" w:rsidRDefault="00A77D11" w:rsidP="00A77D11">
      <w:pPr>
        <w:rPr>
          <w:rFonts w:ascii="LindeDaxOffice Medium" w:hAnsi="LindeDaxOffice Medium"/>
        </w:rPr>
      </w:pPr>
      <w:r w:rsidRPr="0021221E">
        <w:rPr>
          <w:rFonts w:ascii="LindeDaxOffice Medium" w:hAnsi="LindeDaxOffice Medium"/>
        </w:rPr>
        <w:t>Gás medicinal notificado conforme RDC nº 870, de 17 de maio de 2024.</w:t>
      </w:r>
    </w:p>
    <w:p w14:paraId="14546E3D" w14:textId="77777777" w:rsidR="008A7F92" w:rsidRPr="009E4DAF" w:rsidRDefault="008A7F92" w:rsidP="008A7F9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 xml:space="preserve">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0615DC2D" w14:textId="77777777" w:rsidR="008A7F92" w:rsidRPr="009E4DAF" w:rsidRDefault="008A7F92" w:rsidP="008A7F9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Nordeste Ltda. CNPJ: </w:t>
      </w:r>
      <w:r w:rsidRPr="00763728">
        <w:rPr>
          <w:rFonts w:ascii="LindeDaxOffice Medium" w:hAnsi="LindeDaxOffice Medium"/>
          <w:color w:val="000000" w:themeColor="text1"/>
        </w:rPr>
        <w:t>24.380.578/0020-41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Rod. BR 101 Sul, </w:t>
      </w:r>
      <w:r w:rsidRPr="00845EE3">
        <w:rPr>
          <w:rFonts w:ascii="LindeDaxOffice Medium" w:hAnsi="LindeDaxOffice Medium"/>
          <w:color w:val="000000" w:themeColor="text1"/>
        </w:rPr>
        <w:t>KM 84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Bloco 01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02 </w:t>
      </w:r>
      <w:r>
        <w:rPr>
          <w:rFonts w:ascii="LindeDaxOffice Medium" w:hAnsi="LindeDaxOffice Medium"/>
          <w:color w:val="000000" w:themeColor="text1"/>
        </w:rPr>
        <w:t>e</w:t>
      </w:r>
      <w:r w:rsidRPr="00845EE3">
        <w:rPr>
          <w:rFonts w:ascii="LindeDaxOffice Medium" w:hAnsi="LindeDaxOffice Medium"/>
          <w:color w:val="000000" w:themeColor="text1"/>
        </w:rPr>
        <w:t xml:space="preserve"> 04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CEP </w:t>
      </w:r>
      <w:r w:rsidRPr="00CB161E">
        <w:rPr>
          <w:rFonts w:ascii="LindeDaxOffice Medium" w:hAnsi="LindeDaxOffice Medium"/>
          <w:color w:val="000000" w:themeColor="text1"/>
        </w:rPr>
        <w:t>54.335-000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Jaboatão dos Guararapes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 xml:space="preserve">PE.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Simone T. N. Pernambuco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PE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2914</w:t>
      </w:r>
      <w:r>
        <w:rPr>
          <w:rFonts w:ascii="LindeDaxOffice Medium" w:hAnsi="LindeDaxOffice Medium"/>
          <w:color w:val="000000" w:themeColor="text1"/>
        </w:rPr>
        <w:t>.</w:t>
      </w:r>
    </w:p>
    <w:p w14:paraId="0FAC5ECD" w14:textId="77777777" w:rsidR="008A7F92" w:rsidRDefault="008A7F92" w:rsidP="008A7F92">
      <w:pPr>
        <w:jc w:val="both"/>
        <w:rPr>
          <w:rFonts w:ascii="LindeDaxOffice Medium" w:hAnsi="LindeDaxOffice Medium"/>
          <w:b/>
          <w:bCs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Norte Ltda. CNPJ: </w:t>
      </w:r>
      <w:r w:rsidRPr="00DF40E2">
        <w:rPr>
          <w:rFonts w:ascii="LindeDaxOffice Medium" w:hAnsi="LindeDaxOffice Medium"/>
          <w:color w:val="000000" w:themeColor="text1"/>
        </w:rPr>
        <w:t>34.597.955/0013-23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Rod. Augusto Montenegro</w:t>
      </w:r>
      <w:r>
        <w:rPr>
          <w:rFonts w:ascii="LindeDaxOffice Medium" w:hAnsi="LindeDaxOffice Medium"/>
          <w:color w:val="000000" w:themeColor="text1"/>
        </w:rPr>
        <w:t>, s/n,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 xml:space="preserve">Km 12 </w:t>
      </w:r>
      <w:r>
        <w:rPr>
          <w:rFonts w:ascii="LindeDaxOffice Medium" w:hAnsi="LindeDaxOffice Medium"/>
          <w:color w:val="000000" w:themeColor="text1"/>
        </w:rPr>
        <w:t xml:space="preserve">PARTE, </w:t>
      </w:r>
      <w:r w:rsidRPr="009E4DAF">
        <w:rPr>
          <w:rFonts w:ascii="LindeDaxOffice Medium" w:hAnsi="LindeDaxOffice Medium"/>
          <w:color w:val="000000" w:themeColor="text1"/>
        </w:rPr>
        <w:t>Colônia Pinheiro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Belém-PA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CEP 66</w:t>
      </w:r>
      <w:r>
        <w:rPr>
          <w:rFonts w:ascii="LindeDaxOffice Medium" w:hAnsi="LindeDaxOffice Medium"/>
          <w:color w:val="000000" w:themeColor="text1"/>
        </w:rPr>
        <w:t>.</w:t>
      </w:r>
      <w:r w:rsidRPr="009E4DAF">
        <w:rPr>
          <w:rFonts w:ascii="LindeDaxOffice Medium" w:hAnsi="LindeDaxOffice Medium"/>
          <w:color w:val="000000" w:themeColor="text1"/>
        </w:rPr>
        <w:t xml:space="preserve">820-000.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6C6B59">
        <w:rPr>
          <w:rFonts w:ascii="LindeDaxOffice Medium" w:hAnsi="LindeDaxOffice Medium"/>
          <w:color w:val="000000" w:themeColor="text1"/>
        </w:rPr>
        <w:t>Jeily C. G. de Alcântara</w:t>
      </w:r>
      <w:r>
        <w:rPr>
          <w:rFonts w:ascii="LindeDaxOffice Medium" w:hAnsi="LindeDaxOffice Medium"/>
          <w:color w:val="000000" w:themeColor="text1"/>
        </w:rPr>
        <w:t>,</w:t>
      </w:r>
      <w:r w:rsidRPr="006C6B59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6C6B59">
        <w:rPr>
          <w:rFonts w:ascii="LindeDaxOffice Medium" w:hAnsi="LindeDaxOffice Medium"/>
          <w:color w:val="000000" w:themeColor="text1"/>
        </w:rPr>
        <w:t>PA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6C6B59">
        <w:rPr>
          <w:rFonts w:ascii="LindeDaxOffice Medium" w:hAnsi="LindeDaxOffice Medium"/>
          <w:color w:val="000000" w:themeColor="text1"/>
        </w:rPr>
        <w:t>3136</w:t>
      </w:r>
      <w:r>
        <w:rPr>
          <w:rFonts w:ascii="LindeDaxOffice Medium" w:hAnsi="LindeDaxOffice Medium"/>
          <w:color w:val="000000" w:themeColor="text1"/>
        </w:rPr>
        <w:t>.</w:t>
      </w:r>
    </w:p>
    <w:p w14:paraId="62BD97A4" w14:textId="77777777" w:rsidR="008A7F92" w:rsidRDefault="008A7F92" w:rsidP="008A7F92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</w:p>
    <w:p w14:paraId="09C38E7D" w14:textId="1E6F5F1F" w:rsidR="00E96F0D" w:rsidRDefault="008A7F92" w:rsidP="008A7F92">
      <w:pPr>
        <w:rPr>
          <w:rFonts w:ascii="LindeDaxOffice Medium" w:hAnsi="LindeDaxOffice Medium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629063DB" w14:textId="77777777" w:rsidR="008A7F92" w:rsidRDefault="008A7F92" w:rsidP="008A7F92">
      <w:pPr>
        <w:rPr>
          <w:rFonts w:ascii="LindeDaxOffice Medium" w:hAnsi="LindeDaxOffice Medium"/>
        </w:rPr>
      </w:pPr>
    </w:p>
    <w:p w14:paraId="20B4393D" w14:textId="77777777" w:rsidR="008A7F92" w:rsidRDefault="008A7F92" w:rsidP="008A7F92">
      <w:pPr>
        <w:rPr>
          <w:rFonts w:ascii="LindeDaxOffice Medium" w:hAnsi="LindeDaxOffice Medium"/>
        </w:rPr>
      </w:pPr>
    </w:p>
    <w:p w14:paraId="75E134DD" w14:textId="77777777" w:rsidR="008A7F92" w:rsidRDefault="008A7F92" w:rsidP="008A7F92">
      <w:pPr>
        <w:rPr>
          <w:rFonts w:ascii="LindeDaxOffice Medium" w:hAnsi="LindeDaxOffice Medium"/>
        </w:rPr>
      </w:pPr>
    </w:p>
    <w:p w14:paraId="16BB543E" w14:textId="77777777" w:rsidR="00F927ED" w:rsidRPr="0021221E" w:rsidRDefault="00F927ED" w:rsidP="00F927ED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1221E">
        <w:rPr>
          <w:rFonts w:ascii="LindeDaxOffice Medium" w:hAnsi="LindeDaxOffice Medium"/>
          <w:b/>
          <w:caps/>
        </w:rPr>
        <w:lastRenderedPageBreak/>
        <w:t>Esta página não deve ser impressa, é apenas para controle do histórico de versões.</w:t>
      </w:r>
    </w:p>
    <w:p w14:paraId="2B9B8D51" w14:textId="77777777" w:rsidR="00F927ED" w:rsidRPr="0021221E" w:rsidRDefault="00F927ED" w:rsidP="00F927ED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1221E">
        <w:rPr>
          <w:rFonts w:ascii="LindeDaxOffice Medium" w:hAnsi="LindeDaxOffice Medium"/>
          <w:b/>
          <w:caps/>
        </w:rPr>
        <w:tab/>
      </w:r>
    </w:p>
    <w:p w14:paraId="09891826" w14:textId="77777777" w:rsidR="00F927ED" w:rsidRPr="0021221E" w:rsidRDefault="00F927ED" w:rsidP="00F927ED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1221E">
        <w:rPr>
          <w:rFonts w:ascii="LindeDaxOffice Medium" w:hAnsi="LindeDaxOffice Medium"/>
          <w:b/>
          <w:caps/>
        </w:rPr>
        <w:t>Histórico de Versões</w:t>
      </w:r>
    </w:p>
    <w:p w14:paraId="6B70145D" w14:textId="77777777" w:rsidR="00F927ED" w:rsidRPr="0021221E" w:rsidRDefault="00F927ED" w:rsidP="00F927ED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21221E" w:rsidRPr="0021221E" w14:paraId="59267B9C" w14:textId="77777777" w:rsidTr="000205B2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45CA1438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1221E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76797D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1221E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001FA5C1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1221E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21221E" w:rsidRPr="0021221E" w14:paraId="6840F6A9" w14:textId="77777777" w:rsidTr="000205B2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3460E6BE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480CB70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  <w:szCs w:val="20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5C0934F1" w14:textId="76587A88" w:rsidR="00F927ED" w:rsidRPr="0021221E" w:rsidRDefault="001730B2" w:rsidP="000205B2">
            <w:pPr>
              <w:spacing w:after="0"/>
              <w:jc w:val="both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Inclusão do item Perigo. Atualização das capacidades dos cilindros, dos dados das empresas notificadoras e do prazo de validade conforme estudo de estabilidade. Reorganização na ordem dos itens conforme ordem do Anexo I da RDC 870/2024. Não houve alteração do conteúdo das demais informações que continuam conforme </w:t>
            </w:r>
            <w:r w:rsidR="00F0137D" w:rsidRPr="0021221E">
              <w:rPr>
                <w:rFonts w:ascii="LindeDaxOffice Medium" w:hAnsi="LindeDaxOffice Medium"/>
              </w:rPr>
              <w:t>CD-29048 Rev 11 - 12/2022</w:t>
            </w:r>
            <w:r w:rsidR="00F927ED" w:rsidRPr="0021221E">
              <w:rPr>
                <w:rFonts w:ascii="LindeDaxOffice Medium" w:hAnsi="LindeDaxOffice Medium"/>
              </w:rPr>
              <w:t>.</w:t>
            </w:r>
          </w:p>
        </w:tc>
      </w:tr>
      <w:tr w:rsidR="0021221E" w:rsidRPr="0021221E" w14:paraId="75E3B987" w14:textId="77777777" w:rsidTr="000205B2">
        <w:trPr>
          <w:trHeight w:val="819"/>
        </w:trPr>
        <w:tc>
          <w:tcPr>
            <w:tcW w:w="2035" w:type="dxa"/>
            <w:shd w:val="clear" w:color="auto" w:fill="auto"/>
            <w:noWrap/>
            <w:vAlign w:val="center"/>
          </w:tcPr>
          <w:p w14:paraId="1F43ADED" w14:textId="77777777" w:rsidR="00F927ED" w:rsidRPr="0021221E" w:rsidRDefault="00F927ED" w:rsidP="000205B2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2743298" w14:textId="7E81FD5D" w:rsidR="00F927ED" w:rsidRPr="0021221E" w:rsidRDefault="00F927ED" w:rsidP="000205B2">
            <w:pPr>
              <w:jc w:val="center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06/02/2026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3EC5AE5C" w14:textId="77777777" w:rsidR="00F927ED" w:rsidRPr="0021221E" w:rsidRDefault="00F927ED" w:rsidP="000205B2">
            <w:pPr>
              <w:spacing w:after="0"/>
              <w:jc w:val="both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>Incluído histórico de versões.</w:t>
            </w:r>
          </w:p>
          <w:p w14:paraId="40BEE1A8" w14:textId="223074A6" w:rsidR="00F927ED" w:rsidRPr="0021221E" w:rsidRDefault="00F927ED" w:rsidP="000205B2">
            <w:pPr>
              <w:jc w:val="both"/>
              <w:rPr>
                <w:rFonts w:ascii="LindeDaxOffice Medium" w:hAnsi="LindeDaxOffice Medium"/>
              </w:rPr>
            </w:pPr>
            <w:r w:rsidRPr="0021221E">
              <w:rPr>
                <w:rFonts w:ascii="LindeDaxOffice Medium" w:hAnsi="LindeDaxOffice Medium"/>
              </w:rPr>
              <w:t xml:space="preserve">Harmonização ao </w:t>
            </w:r>
            <w:r w:rsidR="00F0137D" w:rsidRPr="0021221E">
              <w:rPr>
                <w:rFonts w:ascii="LindeDaxOffice Medium" w:hAnsi="LindeDaxOffice Medium"/>
              </w:rPr>
              <w:t>CD-29048 Rev 11 - 12/2022</w:t>
            </w:r>
            <w:r w:rsidRPr="0021221E">
              <w:rPr>
                <w:rFonts w:ascii="LindeDaxOffice Medium" w:hAnsi="LindeDaxOffice Medium"/>
              </w:rPr>
              <w:t>, à RDC 870/2024 e à IN 301/2024.</w:t>
            </w:r>
          </w:p>
        </w:tc>
      </w:tr>
    </w:tbl>
    <w:p w14:paraId="3C516588" w14:textId="77777777" w:rsidR="00F927ED" w:rsidRPr="0021221E" w:rsidRDefault="00F927ED" w:rsidP="00F927ED">
      <w:pPr>
        <w:rPr>
          <w:rFonts w:ascii="LindeDaxOffice Medium" w:hAnsi="LindeDaxOffice Medium"/>
        </w:rPr>
      </w:pPr>
    </w:p>
    <w:p w14:paraId="057852FF" w14:textId="77777777" w:rsidR="00E96F0D" w:rsidRPr="0021221E" w:rsidRDefault="00E96F0D" w:rsidP="00A77D11">
      <w:pPr>
        <w:rPr>
          <w:rFonts w:ascii="LindeDaxOffice Medium" w:hAnsi="LindeDaxOffice Medium"/>
          <w:b/>
          <w:bCs/>
        </w:rPr>
      </w:pPr>
    </w:p>
    <w:p w14:paraId="3E11BC00" w14:textId="77777777" w:rsidR="00E96F0D" w:rsidRPr="0021221E" w:rsidRDefault="00E96F0D" w:rsidP="00A77D11">
      <w:pPr>
        <w:rPr>
          <w:rFonts w:ascii="LindeDaxOffice Medium" w:hAnsi="LindeDaxOffice Medium"/>
          <w:b/>
          <w:bCs/>
        </w:rPr>
      </w:pPr>
    </w:p>
    <w:p w14:paraId="6F9DFEC9" w14:textId="77777777" w:rsidR="00E96F0D" w:rsidRPr="0021221E" w:rsidRDefault="00E96F0D" w:rsidP="00A77D11">
      <w:pPr>
        <w:rPr>
          <w:rFonts w:ascii="LindeDaxOffice Medium" w:hAnsi="LindeDaxOffice Medium"/>
        </w:rPr>
      </w:pPr>
    </w:p>
    <w:sectPr w:rsidR="00E96F0D" w:rsidRPr="0021221E" w:rsidSect="00C760F0">
      <w:headerReference w:type="default" r:id="rId10"/>
      <w:footerReference w:type="default" r:id="rId11"/>
      <w:pgSz w:w="11906" w:h="16838"/>
      <w:pgMar w:top="709" w:right="849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E10D" w14:textId="77777777" w:rsidR="00D47251" w:rsidRDefault="00D47251" w:rsidP="00D47251">
      <w:pPr>
        <w:spacing w:after="0" w:line="240" w:lineRule="auto"/>
      </w:pPr>
      <w:r>
        <w:separator/>
      </w:r>
    </w:p>
  </w:endnote>
  <w:endnote w:type="continuationSeparator" w:id="0">
    <w:p w14:paraId="6F625B31" w14:textId="77777777" w:rsidR="00D47251" w:rsidRDefault="00D47251" w:rsidP="00D4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491D" w14:textId="5BCFEB8F" w:rsidR="00D47251" w:rsidRPr="00564AA5" w:rsidRDefault="00D47251" w:rsidP="00D47251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>
      <w:rPr>
        <w:rFonts w:ascii="LindeDaxOffice Medium" w:hAnsi="LindeDaxOffice Medium"/>
        <w:sz w:val="18"/>
        <w:szCs w:val="18"/>
      </w:rPr>
      <w:t>3</w:t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  <w:t xml:space="preserve">Pág. </w:t>
    </w:r>
    <w:r w:rsidRPr="000D516F">
      <w:rPr>
        <w:rFonts w:ascii="LindeDaxOffice Medium" w:hAnsi="LindeDaxOffice Medium"/>
        <w:sz w:val="18"/>
        <w:szCs w:val="18"/>
      </w:rPr>
      <w:fldChar w:fldCharType="begin"/>
    </w:r>
    <w:r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Pr="000D516F">
      <w:rPr>
        <w:rFonts w:ascii="LindeDaxOffice Medium" w:hAnsi="LindeDaxOffice Medium"/>
        <w:sz w:val="18"/>
        <w:szCs w:val="18"/>
      </w:rPr>
      <w:fldChar w:fldCharType="separate"/>
    </w:r>
    <w:r>
      <w:rPr>
        <w:rFonts w:ascii="LindeDaxOffice Medium" w:hAnsi="LindeDaxOffice Medium"/>
        <w:sz w:val="18"/>
        <w:szCs w:val="18"/>
      </w:rPr>
      <w:t>2</w:t>
    </w:r>
    <w:r w:rsidRPr="000D516F">
      <w:rPr>
        <w:rFonts w:ascii="LindeDaxOffice Medium" w:hAnsi="LindeDaxOffice Medium"/>
        <w:noProof/>
        <w:sz w:val="18"/>
        <w:szCs w:val="18"/>
      </w:rPr>
      <w:fldChar w:fldCharType="end"/>
    </w:r>
    <w:r>
      <w:rPr>
        <w:rFonts w:ascii="LindeDaxOffice Medium" w:hAnsi="LindeDaxOffice Medium"/>
        <w:noProof/>
        <w:sz w:val="18"/>
        <w:szCs w:val="18"/>
      </w:rPr>
      <w:t>/2</w:t>
    </w:r>
  </w:p>
  <w:p w14:paraId="7CC18152" w14:textId="246B6763" w:rsidR="00D47251" w:rsidRPr="00D47251" w:rsidRDefault="006701A8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D47251">
      <w:rPr>
        <w:rFonts w:ascii="LindeDaxOffice Medium" w:hAnsi="LindeDaxOffice Medium"/>
        <w:sz w:val="18"/>
        <w:szCs w:val="18"/>
      </w:rPr>
      <w:t>Dióxido de Carbono Medicinal</w:t>
    </w:r>
    <w:r w:rsidR="00D47251" w:rsidRPr="00564AA5">
      <w:rPr>
        <w:rFonts w:ascii="LindeDaxOffice Medium" w:hAnsi="LindeDaxOffice Medium"/>
        <w:sz w:val="18"/>
        <w:szCs w:val="18"/>
      </w:rPr>
      <w:t xml:space="preserve"> - Rev 0</w:t>
    </w:r>
    <w:r w:rsidR="00D47251">
      <w:rPr>
        <w:rFonts w:ascii="LindeDaxOffice Medium" w:hAnsi="LindeDaxOffice Medium"/>
        <w:sz w:val="18"/>
        <w:szCs w:val="18"/>
      </w:rPr>
      <w:t>2</w:t>
    </w:r>
    <w:r w:rsidR="00D47251" w:rsidRPr="00564AA5">
      <w:rPr>
        <w:rFonts w:ascii="LindeDaxOffice Medium" w:hAnsi="LindeDaxOffice Medium"/>
        <w:sz w:val="18"/>
        <w:szCs w:val="18"/>
      </w:rPr>
      <w:t xml:space="preserve"> - 0</w:t>
    </w:r>
    <w:r w:rsidR="00D47251">
      <w:rPr>
        <w:rFonts w:ascii="LindeDaxOffice Medium" w:hAnsi="LindeDaxOffice Medium"/>
        <w:sz w:val="18"/>
        <w:szCs w:val="18"/>
      </w:rPr>
      <w:t>6</w:t>
    </w:r>
    <w:r w:rsidR="00D47251" w:rsidRPr="00564AA5">
      <w:rPr>
        <w:rFonts w:ascii="LindeDaxOffice Medium" w:hAnsi="LindeDaxOffice Medium"/>
        <w:sz w:val="18"/>
        <w:szCs w:val="18"/>
      </w:rPr>
      <w:t>/202</w:t>
    </w:r>
    <w:r w:rsidR="00D47251"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4F33" w14:textId="77777777" w:rsidR="00D47251" w:rsidRDefault="00D47251" w:rsidP="00D47251">
      <w:pPr>
        <w:spacing w:after="0" w:line="240" w:lineRule="auto"/>
      </w:pPr>
      <w:r>
        <w:separator/>
      </w:r>
    </w:p>
  </w:footnote>
  <w:footnote w:type="continuationSeparator" w:id="0">
    <w:p w14:paraId="10B19F45" w14:textId="77777777" w:rsidR="00D47251" w:rsidRDefault="00D47251" w:rsidP="00D4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34C0" w14:textId="2E7A26BA" w:rsidR="00581C1F" w:rsidRDefault="00581C1F">
    <w:pPr>
      <w:pStyle w:val="Header"/>
    </w:pPr>
    <w:r w:rsidRPr="00581C1F">
      <w:rPr>
        <w:noProof/>
      </w:rPr>
      <w:drawing>
        <wp:anchor distT="0" distB="0" distL="114300" distR="114300" simplePos="0" relativeHeight="251659264" behindDoc="0" locked="0" layoutInCell="1" allowOverlap="1" wp14:anchorId="1F2C8982" wp14:editId="18E06C5B">
          <wp:simplePos x="0" y="0"/>
          <wp:positionH relativeFrom="column">
            <wp:posOffset>4923155</wp:posOffset>
          </wp:positionH>
          <wp:positionV relativeFrom="paragraph">
            <wp:posOffset>-199184</wp:posOffset>
          </wp:positionV>
          <wp:extent cx="1618615" cy="280670"/>
          <wp:effectExtent l="0" t="0" r="635" b="5080"/>
          <wp:wrapTopAndBottom/>
          <wp:docPr id="1287929430" name="Picture 1287929430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S8VqaT24KbWqnD0uF68rSDNJX+R2XhzoIIIbVghB6zSzM0uKY+EWfg6NzEvZXO/XXOLvk/YVIPOml2Rjtzrtqw==" w:salt="/fBVkUHF4rRMe2yCaDoR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B"/>
    <w:rsid w:val="00024879"/>
    <w:rsid w:val="00026219"/>
    <w:rsid w:val="000334A0"/>
    <w:rsid w:val="00065291"/>
    <w:rsid w:val="00070990"/>
    <w:rsid w:val="00083AE6"/>
    <w:rsid w:val="00086614"/>
    <w:rsid w:val="00091594"/>
    <w:rsid w:val="000B4ED4"/>
    <w:rsid w:val="000B57F8"/>
    <w:rsid w:val="000E1AF7"/>
    <w:rsid w:val="001011BA"/>
    <w:rsid w:val="00152363"/>
    <w:rsid w:val="001607BE"/>
    <w:rsid w:val="00165FDB"/>
    <w:rsid w:val="0017088A"/>
    <w:rsid w:val="001730B2"/>
    <w:rsid w:val="00173CF8"/>
    <w:rsid w:val="00177E2C"/>
    <w:rsid w:val="00180890"/>
    <w:rsid w:val="0018421C"/>
    <w:rsid w:val="00187C31"/>
    <w:rsid w:val="00192DB9"/>
    <w:rsid w:val="00193BDA"/>
    <w:rsid w:val="001C388E"/>
    <w:rsid w:val="001E605D"/>
    <w:rsid w:val="001F2807"/>
    <w:rsid w:val="0021221E"/>
    <w:rsid w:val="0022587B"/>
    <w:rsid w:val="00251849"/>
    <w:rsid w:val="00272122"/>
    <w:rsid w:val="00275A70"/>
    <w:rsid w:val="0029184A"/>
    <w:rsid w:val="00291D89"/>
    <w:rsid w:val="002B37A4"/>
    <w:rsid w:val="002D6E64"/>
    <w:rsid w:val="002F7373"/>
    <w:rsid w:val="00323D76"/>
    <w:rsid w:val="003331A6"/>
    <w:rsid w:val="00342E4B"/>
    <w:rsid w:val="0034673D"/>
    <w:rsid w:val="00351FCF"/>
    <w:rsid w:val="00370D6F"/>
    <w:rsid w:val="00384F7D"/>
    <w:rsid w:val="003931E3"/>
    <w:rsid w:val="003B690A"/>
    <w:rsid w:val="003B6A95"/>
    <w:rsid w:val="003E5D14"/>
    <w:rsid w:val="003F13FF"/>
    <w:rsid w:val="00412E67"/>
    <w:rsid w:val="004409AE"/>
    <w:rsid w:val="00440BF9"/>
    <w:rsid w:val="00474B83"/>
    <w:rsid w:val="00474BE7"/>
    <w:rsid w:val="00477089"/>
    <w:rsid w:val="00485151"/>
    <w:rsid w:val="004871A1"/>
    <w:rsid w:val="00493ED4"/>
    <w:rsid w:val="004B0454"/>
    <w:rsid w:val="004B1290"/>
    <w:rsid w:val="004C4565"/>
    <w:rsid w:val="004F1E1D"/>
    <w:rsid w:val="00516916"/>
    <w:rsid w:val="00527F6C"/>
    <w:rsid w:val="00536FE5"/>
    <w:rsid w:val="00537D2D"/>
    <w:rsid w:val="00543034"/>
    <w:rsid w:val="0055206E"/>
    <w:rsid w:val="00556FF8"/>
    <w:rsid w:val="00557CCA"/>
    <w:rsid w:val="00581C1F"/>
    <w:rsid w:val="005C0457"/>
    <w:rsid w:val="005C209C"/>
    <w:rsid w:val="005C571D"/>
    <w:rsid w:val="005D3672"/>
    <w:rsid w:val="005D6B69"/>
    <w:rsid w:val="00600242"/>
    <w:rsid w:val="006035EF"/>
    <w:rsid w:val="00610780"/>
    <w:rsid w:val="0062304F"/>
    <w:rsid w:val="00625915"/>
    <w:rsid w:val="006329A0"/>
    <w:rsid w:val="00652B3B"/>
    <w:rsid w:val="006641F4"/>
    <w:rsid w:val="006701A8"/>
    <w:rsid w:val="00683D7A"/>
    <w:rsid w:val="00684477"/>
    <w:rsid w:val="006A6088"/>
    <w:rsid w:val="006B2032"/>
    <w:rsid w:val="006C406A"/>
    <w:rsid w:val="006E2EBE"/>
    <w:rsid w:val="007165AB"/>
    <w:rsid w:val="007334ED"/>
    <w:rsid w:val="007359B3"/>
    <w:rsid w:val="00765FC7"/>
    <w:rsid w:val="007670BC"/>
    <w:rsid w:val="007768CA"/>
    <w:rsid w:val="00781B53"/>
    <w:rsid w:val="0079330C"/>
    <w:rsid w:val="007976F9"/>
    <w:rsid w:val="007A22AC"/>
    <w:rsid w:val="007A5FB0"/>
    <w:rsid w:val="007B534C"/>
    <w:rsid w:val="007C076E"/>
    <w:rsid w:val="007F13BE"/>
    <w:rsid w:val="007F24AC"/>
    <w:rsid w:val="007F3453"/>
    <w:rsid w:val="0081313E"/>
    <w:rsid w:val="00824E23"/>
    <w:rsid w:val="00826C96"/>
    <w:rsid w:val="0083161D"/>
    <w:rsid w:val="008340AF"/>
    <w:rsid w:val="00846312"/>
    <w:rsid w:val="00856E81"/>
    <w:rsid w:val="0087182A"/>
    <w:rsid w:val="00871938"/>
    <w:rsid w:val="00891758"/>
    <w:rsid w:val="008A04FA"/>
    <w:rsid w:val="008A7F92"/>
    <w:rsid w:val="008D78E3"/>
    <w:rsid w:val="008E290B"/>
    <w:rsid w:val="00924A91"/>
    <w:rsid w:val="00931837"/>
    <w:rsid w:val="0093521A"/>
    <w:rsid w:val="00942C4C"/>
    <w:rsid w:val="00943916"/>
    <w:rsid w:val="0094410F"/>
    <w:rsid w:val="009501CD"/>
    <w:rsid w:val="00952199"/>
    <w:rsid w:val="0095549F"/>
    <w:rsid w:val="00962669"/>
    <w:rsid w:val="009631BD"/>
    <w:rsid w:val="0098404C"/>
    <w:rsid w:val="009B3CEB"/>
    <w:rsid w:val="009D3F03"/>
    <w:rsid w:val="009D670E"/>
    <w:rsid w:val="009D794B"/>
    <w:rsid w:val="009E36CC"/>
    <w:rsid w:val="009F471C"/>
    <w:rsid w:val="00A0013E"/>
    <w:rsid w:val="00A10ABD"/>
    <w:rsid w:val="00A2306A"/>
    <w:rsid w:val="00A258B6"/>
    <w:rsid w:val="00A32564"/>
    <w:rsid w:val="00A43E05"/>
    <w:rsid w:val="00A529DD"/>
    <w:rsid w:val="00A6704D"/>
    <w:rsid w:val="00A7555C"/>
    <w:rsid w:val="00A77D11"/>
    <w:rsid w:val="00AA1D84"/>
    <w:rsid w:val="00AB3081"/>
    <w:rsid w:val="00AB564D"/>
    <w:rsid w:val="00AB5841"/>
    <w:rsid w:val="00AD0A0A"/>
    <w:rsid w:val="00AF3AA4"/>
    <w:rsid w:val="00AF427B"/>
    <w:rsid w:val="00B146F0"/>
    <w:rsid w:val="00B1661B"/>
    <w:rsid w:val="00B209B3"/>
    <w:rsid w:val="00B23805"/>
    <w:rsid w:val="00B242AC"/>
    <w:rsid w:val="00B27072"/>
    <w:rsid w:val="00B45459"/>
    <w:rsid w:val="00B5467A"/>
    <w:rsid w:val="00B546A3"/>
    <w:rsid w:val="00B56BE2"/>
    <w:rsid w:val="00B60ABC"/>
    <w:rsid w:val="00B6446C"/>
    <w:rsid w:val="00B7649C"/>
    <w:rsid w:val="00B76CC8"/>
    <w:rsid w:val="00B802CE"/>
    <w:rsid w:val="00B90724"/>
    <w:rsid w:val="00B97016"/>
    <w:rsid w:val="00C03B4E"/>
    <w:rsid w:val="00C32123"/>
    <w:rsid w:val="00C56C1C"/>
    <w:rsid w:val="00C666B5"/>
    <w:rsid w:val="00C760F0"/>
    <w:rsid w:val="00C91A79"/>
    <w:rsid w:val="00CA0B1F"/>
    <w:rsid w:val="00CA4C5C"/>
    <w:rsid w:val="00CC28F6"/>
    <w:rsid w:val="00CE11EB"/>
    <w:rsid w:val="00CE6D03"/>
    <w:rsid w:val="00CE6D63"/>
    <w:rsid w:val="00CF305B"/>
    <w:rsid w:val="00D32FA0"/>
    <w:rsid w:val="00D44291"/>
    <w:rsid w:val="00D46948"/>
    <w:rsid w:val="00D47251"/>
    <w:rsid w:val="00D60717"/>
    <w:rsid w:val="00D66825"/>
    <w:rsid w:val="00D71D13"/>
    <w:rsid w:val="00D81476"/>
    <w:rsid w:val="00D837A7"/>
    <w:rsid w:val="00DA7959"/>
    <w:rsid w:val="00DC02B9"/>
    <w:rsid w:val="00DC2147"/>
    <w:rsid w:val="00E05F9E"/>
    <w:rsid w:val="00E116B1"/>
    <w:rsid w:val="00E340E2"/>
    <w:rsid w:val="00E51A30"/>
    <w:rsid w:val="00E5501C"/>
    <w:rsid w:val="00E621EA"/>
    <w:rsid w:val="00E7060E"/>
    <w:rsid w:val="00E84717"/>
    <w:rsid w:val="00E92327"/>
    <w:rsid w:val="00E96F0D"/>
    <w:rsid w:val="00EA50C8"/>
    <w:rsid w:val="00EC4F9D"/>
    <w:rsid w:val="00EC568E"/>
    <w:rsid w:val="00EC76E7"/>
    <w:rsid w:val="00ED258B"/>
    <w:rsid w:val="00ED62CC"/>
    <w:rsid w:val="00EE0905"/>
    <w:rsid w:val="00EE0C65"/>
    <w:rsid w:val="00EE5DE5"/>
    <w:rsid w:val="00EE752A"/>
    <w:rsid w:val="00F0137D"/>
    <w:rsid w:val="00F01DC9"/>
    <w:rsid w:val="00F03E6F"/>
    <w:rsid w:val="00F27554"/>
    <w:rsid w:val="00F30106"/>
    <w:rsid w:val="00F421C5"/>
    <w:rsid w:val="00F4296A"/>
    <w:rsid w:val="00F51041"/>
    <w:rsid w:val="00F538A2"/>
    <w:rsid w:val="00F72586"/>
    <w:rsid w:val="00F74C5A"/>
    <w:rsid w:val="00F927ED"/>
    <w:rsid w:val="00F97919"/>
    <w:rsid w:val="00FC301A"/>
    <w:rsid w:val="00FC57CB"/>
    <w:rsid w:val="00FC6804"/>
    <w:rsid w:val="00FD4942"/>
    <w:rsid w:val="00FF39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064A"/>
  <w15:chartTrackingRefBased/>
  <w15:docId w15:val="{86C26496-2583-4FA5-B701-5288AE7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4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4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7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51"/>
  </w:style>
  <w:style w:type="paragraph" w:styleId="Footer">
    <w:name w:val="footer"/>
    <w:basedOn w:val="Normal"/>
    <w:link w:val="FooterChar"/>
    <w:uiPriority w:val="99"/>
    <w:unhideWhenUsed/>
    <w:rsid w:val="00D47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62AD1-0EE7-4D4C-B7EB-8E9983FCEA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191D2B-5A4B-4630-9A0B-9E881B29E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AB815-C871-47CA-BCD9-5B7855E780AC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4213deca-91d5-4863-a86b-37f9ba5d141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FBC7CD-EEBB-4968-B67E-BFF441BB9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6397</Characters>
  <Application>Microsoft Office Word</Application>
  <DocSecurity>12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Dióxido de Carbono Medicinal</dc:title>
  <dc:subject/>
  <dc:creator>Thiago Martins</dc:creator>
  <cp:keywords/>
  <dc:description/>
  <cp:lastModifiedBy>Julia Costa</cp:lastModifiedBy>
  <cp:revision>2</cp:revision>
  <dcterms:created xsi:type="dcterms:W3CDTF">2026-06-15T13:49:00Z</dcterms:created>
  <dcterms:modified xsi:type="dcterms:W3CDTF">2026-06-15T13:49:00Z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