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BB8E" w14:textId="1A87B6D1" w:rsidR="00A1617F" w:rsidRPr="00A86AB7" w:rsidRDefault="00162464" w:rsidP="00A1617F">
      <w:pPr>
        <w:rPr>
          <w:rFonts w:ascii="LindeDaxOffice Medium" w:hAnsi="LindeDaxOffice Medium"/>
          <w:b/>
          <w:bCs/>
        </w:rPr>
      </w:pPr>
      <w:r w:rsidRPr="00233E4A">
        <w:rPr>
          <w:rFonts w:ascii="LindeDaxOffice Medium" w:hAnsi="LindeDaxOffice Medium"/>
          <w:b/>
          <w:bCs/>
        </w:rPr>
        <w:t xml:space="preserve">Ficha Técnica – </w:t>
      </w:r>
      <w:r>
        <w:rPr>
          <w:rFonts w:ascii="LindeDaxOffice Medium" w:hAnsi="LindeDaxOffice Medium"/>
          <w:b/>
          <w:bCs/>
        </w:rPr>
        <w:t xml:space="preserve">Texto do </w:t>
      </w:r>
      <w:r w:rsidRPr="00233E4A">
        <w:rPr>
          <w:rFonts w:ascii="LindeDaxOffice Medium" w:hAnsi="LindeDaxOffice Medium"/>
          <w:b/>
          <w:bCs/>
        </w:rPr>
        <w:t>Rótulo – Folheto Informativo</w:t>
      </w:r>
    </w:p>
    <w:p w14:paraId="2A776F32" w14:textId="77777777" w:rsidR="001A6EAF" w:rsidRDefault="00A1617F" w:rsidP="00E33E05">
      <w:pPr>
        <w:rPr>
          <w:rFonts w:ascii="LindeDaxOffice Medium" w:hAnsi="LindeDaxOffice Medium"/>
          <w:b/>
          <w:bCs/>
        </w:rPr>
      </w:pPr>
      <w:r w:rsidRPr="00A1617F">
        <w:rPr>
          <w:rFonts w:ascii="LindeDaxOffice Medium" w:hAnsi="LindeDaxOffice Medium"/>
          <w:b/>
          <w:bCs/>
        </w:rPr>
        <w:t>Oxigênio</w:t>
      </w:r>
      <w:r w:rsidR="00EC62B7">
        <w:rPr>
          <w:rFonts w:ascii="LindeDaxOffice Medium" w:hAnsi="LindeDaxOffice Medium"/>
          <w:b/>
          <w:bCs/>
        </w:rPr>
        <w:t xml:space="preserve"> (O</w:t>
      </w:r>
      <w:r w:rsidR="00EC62B7" w:rsidRPr="00EC62B7">
        <w:rPr>
          <w:rFonts w:ascii="LindeDaxOffice Medium" w:hAnsi="LindeDaxOffice Medium"/>
          <w:b/>
          <w:bCs/>
          <w:vertAlign w:val="subscript"/>
        </w:rPr>
        <w:t>2</w:t>
      </w:r>
      <w:r w:rsidR="00EC62B7">
        <w:rPr>
          <w:rFonts w:ascii="LindeDaxOffice Medium" w:hAnsi="LindeDaxOffice Medium"/>
          <w:b/>
          <w:bCs/>
        </w:rPr>
        <w:t>)</w:t>
      </w:r>
      <w:r w:rsidRPr="00A1617F">
        <w:rPr>
          <w:rFonts w:ascii="LindeDaxOffice Medium" w:hAnsi="LindeDaxOffice Medium"/>
          <w:b/>
          <w:bCs/>
        </w:rPr>
        <w:t xml:space="preserve"> Medicinal </w:t>
      </w:r>
      <w:r w:rsidR="00F04F07" w:rsidRPr="00A1617F">
        <w:rPr>
          <w:rFonts w:ascii="LindeDaxOffice Medium" w:hAnsi="LindeDaxOffice Medium"/>
          <w:b/>
          <w:bCs/>
        </w:rPr>
        <w:t xml:space="preserve">50% + </w:t>
      </w:r>
      <w:r w:rsidRPr="00A1617F">
        <w:rPr>
          <w:rFonts w:ascii="LindeDaxOffice Medium" w:hAnsi="LindeDaxOffice Medium"/>
          <w:b/>
          <w:bCs/>
        </w:rPr>
        <w:t xml:space="preserve">Óxido Nitroso </w:t>
      </w:r>
      <w:r w:rsidR="00EC62B7">
        <w:rPr>
          <w:rFonts w:ascii="LindeDaxOffice Medium" w:hAnsi="LindeDaxOffice Medium"/>
          <w:b/>
          <w:bCs/>
        </w:rPr>
        <w:t>(N</w:t>
      </w:r>
      <w:r w:rsidR="00EC62B7" w:rsidRPr="00EC62B7">
        <w:rPr>
          <w:rFonts w:ascii="LindeDaxOffice Medium" w:hAnsi="LindeDaxOffice Medium"/>
          <w:b/>
          <w:bCs/>
          <w:vertAlign w:val="subscript"/>
        </w:rPr>
        <w:t>2</w:t>
      </w:r>
      <w:r w:rsidR="00EC62B7">
        <w:rPr>
          <w:rFonts w:ascii="LindeDaxOffice Medium" w:hAnsi="LindeDaxOffice Medium"/>
          <w:b/>
          <w:bCs/>
        </w:rPr>
        <w:t xml:space="preserve">O) </w:t>
      </w:r>
      <w:r w:rsidRPr="00A1617F">
        <w:rPr>
          <w:rFonts w:ascii="LindeDaxOffice Medium" w:hAnsi="LindeDaxOffice Medium"/>
          <w:b/>
          <w:bCs/>
        </w:rPr>
        <w:t xml:space="preserve">Medicinal </w:t>
      </w:r>
      <w:r w:rsidR="00F04F07" w:rsidRPr="00A1617F">
        <w:rPr>
          <w:rFonts w:ascii="LindeDaxOffice Medium" w:hAnsi="LindeDaxOffice Medium"/>
          <w:b/>
          <w:bCs/>
        </w:rPr>
        <w:t>50%</w:t>
      </w:r>
      <w:r w:rsidR="00E33E05">
        <w:rPr>
          <w:rFonts w:ascii="LindeDaxOffice Medium" w:hAnsi="LindeDaxOffice Medium"/>
          <w:b/>
          <w:bCs/>
        </w:rPr>
        <w:t>,</w:t>
      </w:r>
      <w:r w:rsidR="006836EC" w:rsidRPr="00A1617F">
        <w:rPr>
          <w:rFonts w:ascii="LindeDaxOffice Medium" w:hAnsi="LindeDaxOffice Medium"/>
          <w:b/>
          <w:bCs/>
        </w:rPr>
        <w:t xml:space="preserve"> </w:t>
      </w:r>
      <w:r w:rsidR="006836EC">
        <w:rPr>
          <w:rFonts w:ascii="LindeDaxOffice Medium" w:hAnsi="LindeDaxOffice Medium"/>
          <w:b/>
          <w:bCs/>
        </w:rPr>
        <w:t>C</w:t>
      </w:r>
      <w:r w:rsidR="006836EC" w:rsidRPr="00A1617F">
        <w:rPr>
          <w:rFonts w:ascii="LindeDaxOffice Medium" w:hAnsi="LindeDaxOffice Medium"/>
          <w:b/>
          <w:bCs/>
        </w:rPr>
        <w:t>omprimido</w:t>
      </w:r>
    </w:p>
    <w:p w14:paraId="3CA5619F" w14:textId="1949420B" w:rsidR="00E33E05" w:rsidRPr="00A1617F" w:rsidRDefault="00E33E05" w:rsidP="00E33E05">
      <w:pPr>
        <w:rPr>
          <w:rFonts w:ascii="LindeDaxOffice Medium" w:hAnsi="LindeDaxOffice Medium"/>
          <w:b/>
          <w:bCs/>
        </w:rPr>
      </w:pPr>
      <w:r w:rsidRPr="00A1617F">
        <w:rPr>
          <w:rFonts w:ascii="LindeDaxOffice Medium" w:hAnsi="LindeDaxOffice Medium"/>
          <w:b/>
          <w:bCs/>
        </w:rPr>
        <w:t>ONU</w:t>
      </w:r>
      <w:r w:rsidRPr="00A1617F">
        <w:rPr>
          <w:rFonts w:ascii="LindeDaxOffice Medium" w:hAnsi="LindeDaxOffice Medium"/>
        </w:rPr>
        <w:t xml:space="preserve"> </w:t>
      </w:r>
      <w:r w:rsidRPr="00A1617F">
        <w:rPr>
          <w:rFonts w:ascii="LindeDaxOffice Medium" w:hAnsi="LindeDaxOffice Medium"/>
          <w:b/>
          <w:bCs/>
        </w:rPr>
        <w:t>3156</w:t>
      </w:r>
      <w:r>
        <w:rPr>
          <w:rFonts w:ascii="LindeDaxOffice Medium" w:hAnsi="LindeDaxOffice Medium"/>
          <w:b/>
          <w:bCs/>
        </w:rPr>
        <w:t>,</w:t>
      </w:r>
      <w:r w:rsidRPr="00E33E05">
        <w:rPr>
          <w:rFonts w:ascii="LindeDaxOffice Medium" w:hAnsi="LindeDaxOffice Medium"/>
          <w:b/>
          <w:bCs/>
        </w:rPr>
        <w:t xml:space="preserve"> </w:t>
      </w:r>
      <w:r w:rsidRPr="00A1617F">
        <w:rPr>
          <w:rFonts w:ascii="LindeDaxOffice Medium" w:hAnsi="LindeDaxOffice Medium"/>
          <w:b/>
          <w:bCs/>
        </w:rPr>
        <w:t>Válvula Integrada</w:t>
      </w:r>
    </w:p>
    <w:p w14:paraId="59396ED4" w14:textId="6AC22073" w:rsidR="00484EE3" w:rsidRPr="00A1617F" w:rsidRDefault="006836EC" w:rsidP="00903D99">
      <w:pPr>
        <w:rPr>
          <w:rFonts w:ascii="LindeDaxOffice Medium" w:hAnsi="LindeDaxOffice Medium"/>
          <w:b/>
          <w:bCs/>
        </w:rPr>
      </w:pPr>
      <w:r>
        <w:rPr>
          <w:rFonts w:ascii="LindeDaxOffice Medium" w:hAnsi="LindeDaxOffice Medium"/>
          <w:b/>
          <w:bCs/>
        </w:rPr>
        <w:t xml:space="preserve">Nome Comercial: </w:t>
      </w:r>
      <w:r w:rsidR="00A1617F" w:rsidRPr="006836EC">
        <w:rPr>
          <w:rFonts w:ascii="LindeDaxOffice Medium" w:hAnsi="LindeDaxOffice Medium"/>
        </w:rPr>
        <w:t>Entonox</w:t>
      </w:r>
    </w:p>
    <w:p w14:paraId="062D4BBB" w14:textId="77777777" w:rsidR="00D36B73" w:rsidRPr="00A1617F" w:rsidRDefault="00D36B73" w:rsidP="00D36B73">
      <w:pPr>
        <w:rPr>
          <w:rFonts w:ascii="LindeDaxOffice Medium" w:hAnsi="LindeDaxOffice Medium"/>
        </w:rPr>
      </w:pPr>
      <w:r w:rsidRPr="00A1617F">
        <w:rPr>
          <w:rFonts w:ascii="LindeDaxOffice Medium" w:hAnsi="LindeDaxOffice Medium"/>
          <w:b/>
          <w:bCs/>
        </w:rPr>
        <w:t>Composição do Gás Medicinal:</w:t>
      </w:r>
      <w:r w:rsidRPr="00A1617F">
        <w:rPr>
          <w:rFonts w:ascii="LindeDaxOffice Medium" w:hAnsi="LindeDaxOffice Medium"/>
        </w:rPr>
        <w:t xml:space="preserve"> 50% Óxido Nitroso mol/mol + 50% Oxigênio mol/mol</w:t>
      </w:r>
    </w:p>
    <w:p w14:paraId="75455423" w14:textId="7A836A38" w:rsidR="00A91BA2" w:rsidRPr="00A1617F" w:rsidRDefault="00A91BA2" w:rsidP="00A91BA2">
      <w:pPr>
        <w:rPr>
          <w:rFonts w:ascii="LindeDaxOffice Medium" w:hAnsi="LindeDaxOffice Medium"/>
        </w:rPr>
      </w:pPr>
      <w:r w:rsidRPr="00A1617F">
        <w:rPr>
          <w:rFonts w:ascii="LindeDaxOffice Medium" w:hAnsi="LindeDaxOffice Medium"/>
          <w:b/>
          <w:bCs/>
        </w:rPr>
        <w:t>Quantidade Líquida</w:t>
      </w:r>
      <w:r w:rsidR="006D3CF7">
        <w:rPr>
          <w:rFonts w:ascii="LindeDaxOffice Medium" w:hAnsi="LindeDaxOffice Medium"/>
          <w:b/>
          <w:bCs/>
        </w:rPr>
        <w:t xml:space="preserve"> (m</w:t>
      </w:r>
      <w:r w:rsidR="006D3CF7" w:rsidRPr="006D3CF7">
        <w:rPr>
          <w:rFonts w:ascii="LindeDaxOffice Medium" w:hAnsi="LindeDaxOffice Medium"/>
          <w:b/>
          <w:bCs/>
          <w:vertAlign w:val="superscript"/>
        </w:rPr>
        <w:t>3</w:t>
      </w:r>
      <w:r w:rsidR="006D3CF7">
        <w:rPr>
          <w:rFonts w:ascii="LindeDaxOffice Medium" w:hAnsi="LindeDaxOffice Medium"/>
          <w:b/>
          <w:bCs/>
        </w:rPr>
        <w:t>)</w:t>
      </w:r>
      <w:r w:rsidRPr="00A1617F">
        <w:rPr>
          <w:rFonts w:ascii="LindeDaxOffice Medium" w:hAnsi="LindeDaxOffice Medium"/>
          <w:b/>
          <w:bCs/>
        </w:rPr>
        <w:t>:</w:t>
      </w:r>
      <w:r w:rsidRPr="00A1617F">
        <w:rPr>
          <w:rFonts w:ascii="LindeDaxOffice Medium" w:hAnsi="LindeDaxOffice Medium"/>
        </w:rPr>
        <w:t xml:space="preserve">  </w:t>
      </w:r>
      <w:r w:rsidR="009E5A40">
        <w:rPr>
          <w:rFonts w:ascii="LindeDaxOffice Medium" w:hAnsi="LindeDaxOffice Medium"/>
        </w:rPr>
        <w:t>0,56</w:t>
      </w:r>
    </w:p>
    <w:p w14:paraId="5D931F6B" w14:textId="77777777" w:rsidR="00C36BDC" w:rsidRPr="00A1617F" w:rsidRDefault="00C36BDC" w:rsidP="00C36BDC">
      <w:pPr>
        <w:jc w:val="both"/>
        <w:rPr>
          <w:rFonts w:ascii="LindeDaxOffice Medium" w:hAnsi="LindeDaxOffice Medium"/>
        </w:rPr>
      </w:pPr>
      <w:r w:rsidRPr="00A1617F">
        <w:rPr>
          <w:rFonts w:ascii="LindeDaxOffice Medium" w:hAnsi="LindeDaxOffice Medium"/>
          <w:b/>
          <w:bCs/>
        </w:rPr>
        <w:softHyphen/>
      </w:r>
      <w:r w:rsidRPr="00A1617F">
        <w:rPr>
          <w:rFonts w:ascii="LindeDaxOffice Medium" w:hAnsi="LindeDaxOffice Medium"/>
          <w:b/>
          <w:bCs/>
        </w:rPr>
        <w:softHyphen/>
        <w:t>Via de Administração:</w:t>
      </w:r>
      <w:r w:rsidRPr="00A1617F">
        <w:rPr>
          <w:rFonts w:ascii="LindeDaxOffice Medium" w:hAnsi="LindeDaxOffice Medium"/>
        </w:rPr>
        <w:t xml:space="preserve"> Via inalatória, conectado às válvulas de exalação e de demanda, sempre sob orientação médica e de maneira controlada. A administração é controlada pela respiração do paciente e a absorção ocorre, rapidamente, nos pulmões, podendo causar hipóxia. O próprio paciente deve segurar a máscara para, caso haja sonolência, a administração seja interrompida. Ao respirar o ar ambiente, o efeito desaparece e o paciente recupera a consciência. Na odontologia, recomenda-se o uso de uma máscara dupla; como alternativa, deve-se usar uma máscara nasal ou nasobucal com limpeza/ventilação adequada. Deve haver possibilidade de suplementação de oxigênio e equipamentos para ressuscitação prontamente disponíveis. Quando a administração for encerrada, o paciente deve aguardar, sob supervisão de um profissional de saúde, até que seu grau de alerta/consciência esteja satisfatório.</w:t>
      </w:r>
    </w:p>
    <w:p w14:paraId="71E8EDC2" w14:textId="7E521E76" w:rsidR="00747C13" w:rsidRPr="00A1617F" w:rsidRDefault="00747C13" w:rsidP="00747C13">
      <w:pPr>
        <w:rPr>
          <w:rFonts w:ascii="LindeDaxOffice Medium" w:hAnsi="LindeDaxOffice Medium"/>
        </w:rPr>
      </w:pPr>
      <w:r>
        <w:rPr>
          <w:rFonts w:ascii="LindeDaxOffice Medium" w:hAnsi="LindeDaxOffice Medium"/>
          <w:b/>
          <w:bCs/>
        </w:rPr>
        <w:t xml:space="preserve">Número de </w:t>
      </w:r>
      <w:r w:rsidRPr="00A1617F">
        <w:rPr>
          <w:rFonts w:ascii="LindeDaxOffice Medium" w:hAnsi="LindeDaxOffice Medium"/>
          <w:b/>
          <w:bCs/>
        </w:rPr>
        <w:t>Lote e Data de Fabricação:</w:t>
      </w:r>
      <w:r w:rsidRPr="00A1617F">
        <w:rPr>
          <w:rFonts w:ascii="LindeDaxOffice Medium" w:hAnsi="LindeDaxOffice Medium"/>
        </w:rPr>
        <w:t xml:space="preserve"> Consultar etiqueta adicional no cilindro</w:t>
      </w:r>
    </w:p>
    <w:p w14:paraId="40A1A73B" w14:textId="0881BB4E" w:rsidR="00747C13" w:rsidRPr="00A1617F" w:rsidRDefault="00747C13" w:rsidP="00747C13">
      <w:pPr>
        <w:rPr>
          <w:rFonts w:ascii="LindeDaxOffice Medium" w:hAnsi="LindeDaxOffice Medium"/>
        </w:rPr>
      </w:pPr>
      <w:r w:rsidRPr="00A1617F">
        <w:rPr>
          <w:rFonts w:ascii="LindeDaxOffice Medium" w:hAnsi="LindeDaxOffice Medium"/>
          <w:b/>
          <w:bCs/>
        </w:rPr>
        <w:t>Prazo de validade:</w:t>
      </w:r>
      <w:r w:rsidRPr="00A1617F">
        <w:rPr>
          <w:rFonts w:ascii="LindeDaxOffice Medium" w:hAnsi="LindeDaxOffice Medium"/>
        </w:rPr>
        <w:t xml:space="preserve"> </w:t>
      </w:r>
      <w:r w:rsidR="006724C1">
        <w:rPr>
          <w:rFonts w:ascii="LindeDaxOffice Medium" w:hAnsi="LindeDaxOffice Medium"/>
        </w:rPr>
        <w:t>3</w:t>
      </w:r>
      <w:r w:rsidRPr="00A1617F">
        <w:rPr>
          <w:rFonts w:ascii="LindeDaxOffice Medium" w:hAnsi="LindeDaxOffice Medium"/>
        </w:rPr>
        <w:t xml:space="preserve"> anos a partir da data de fabricação</w:t>
      </w:r>
    </w:p>
    <w:p w14:paraId="56C6ED8E" w14:textId="77777777" w:rsidR="00C5574C" w:rsidRPr="00A1617F" w:rsidRDefault="00C5574C" w:rsidP="00C5574C">
      <w:pPr>
        <w:jc w:val="both"/>
        <w:rPr>
          <w:rFonts w:ascii="LindeDaxOffice Medium" w:hAnsi="LindeDaxOffice Medium"/>
        </w:rPr>
      </w:pPr>
      <w:r w:rsidRPr="00A1617F">
        <w:rPr>
          <w:rFonts w:ascii="LindeDaxOffice Medium" w:hAnsi="LindeDaxOffice Medium"/>
          <w:b/>
          <w:bCs/>
        </w:rPr>
        <w:t>Indicações</w:t>
      </w:r>
      <w:r w:rsidRPr="00A1617F">
        <w:rPr>
          <w:rFonts w:ascii="LindeDaxOffice Medium" w:hAnsi="LindeDaxOffice Medium"/>
        </w:rPr>
        <w:t>: como agente sedativo ou analgésico em pequenos procedimentos cirúrgicos ou de diagnóstico e no tratamento odontológico.</w:t>
      </w:r>
    </w:p>
    <w:p w14:paraId="61BB4FFF" w14:textId="77777777" w:rsidR="005A7A71" w:rsidRDefault="005A7A71" w:rsidP="005A7A71">
      <w:pPr>
        <w:jc w:val="both"/>
        <w:rPr>
          <w:rFonts w:ascii="LindeDaxOffice Medium" w:hAnsi="LindeDaxOffice Medium"/>
        </w:rPr>
      </w:pPr>
      <w:r w:rsidRPr="00A1617F">
        <w:rPr>
          <w:rFonts w:ascii="LindeDaxOffice Medium" w:hAnsi="LindeDaxOffice Medium"/>
          <w:b/>
          <w:bCs/>
        </w:rPr>
        <w:t>Contraindicações</w:t>
      </w:r>
      <w:r w:rsidRPr="00A1617F">
        <w:rPr>
          <w:rFonts w:ascii="LindeDaxOffice Medium" w:hAnsi="LindeDaxOffice Medium"/>
        </w:rPr>
        <w:t>: pacientes com hipersensibilidade ao óxido nitroso. Pacientes que possam estar com bolhas de gás (embolia gasosa) ou ar aprisionadas no sangue, em órgãos ou em cavidades corporais. Pacientes com íleo paralítico ou submetidos a cirurgias maiores do intestino. Pacientes com deficiência de vitamina B12 (anemia perniciosa), de ácido fólico, ou da enzima diidropteridina redutase e, ainda, aqueles com outras deficiências nutricionais (como alcoolistas). Pacientes submetidos à terapia com bleomicina. Pacientes com aumento da pressão intracraniana, como na ocorrência de tumores ou hemorragia. Pacientes com insuficiência cardíaca ou hipotensão severa. Pacientes que apresentam um nível de consciência e/ou cooperabilidade reduzido, em virtude do risco de perda dos reflexos de proteção. Gestantes nos 6 (seis) primeiros meses de gravidez. Não deve ser usado durante a amamentação e o potencial efeito de doses clínicas de óxido nitroso na fertilidade é desconhecido.</w:t>
      </w:r>
    </w:p>
    <w:p w14:paraId="790448F8" w14:textId="77777777" w:rsidR="00B8657C" w:rsidRPr="00E349C1" w:rsidRDefault="00B8657C" w:rsidP="00B8657C">
      <w:pPr>
        <w:jc w:val="both"/>
        <w:rPr>
          <w:rFonts w:ascii="LindeDaxOffice Medium" w:hAnsi="LindeDaxOffice Medium"/>
        </w:rPr>
      </w:pPr>
      <w:r w:rsidRPr="00812A34">
        <w:rPr>
          <w:rFonts w:ascii="LindeDaxOffice Medium" w:hAnsi="LindeDaxOffice Medium"/>
          <w:b/>
          <w:bCs/>
        </w:rPr>
        <w:t>Perigo:</w:t>
      </w:r>
      <w:r w:rsidRPr="00812A34">
        <w:rPr>
          <w:rFonts w:ascii="LindeDaxOffice Medium" w:hAnsi="LindeDaxOffice Medium"/>
        </w:rPr>
        <w:t xml:space="preserve"> Pode provocar ou agravar um incêndio, comburente/oxidante; contém gás sob pressão: pode explodir sob ação do calor; mantenha afastado de vestimentas e outros materiais combustíveis; mantenha válvulas e conexões isentas de óleo e graxa; em caso de incêndio: contenha o vazamento, apenas se puder ser feito com segurança; armazene em local bem ventilado; mantenha ao abrigo da luz solar; armazene em local bem ventilado.</w:t>
      </w:r>
    </w:p>
    <w:p w14:paraId="75F70E42" w14:textId="77777777" w:rsidR="00477B35" w:rsidRPr="00A1617F" w:rsidRDefault="00477B35" w:rsidP="00477B35">
      <w:pPr>
        <w:jc w:val="both"/>
        <w:rPr>
          <w:rFonts w:ascii="LindeDaxOffice Medium" w:hAnsi="LindeDaxOffice Medium"/>
        </w:rPr>
      </w:pPr>
      <w:r w:rsidRPr="00A1617F">
        <w:rPr>
          <w:rFonts w:ascii="LindeDaxOffice Medium" w:hAnsi="LindeDaxOffice Medium"/>
          <w:b/>
          <w:bCs/>
        </w:rPr>
        <w:t>Precaucões:</w:t>
      </w:r>
      <w:r w:rsidRPr="00A1617F">
        <w:rPr>
          <w:rFonts w:ascii="LindeDaxOffice Medium" w:hAnsi="LindeDaxOffice Medium"/>
        </w:rPr>
        <w:t xml:space="preserve"> após a administração de oxigênio medicinal 50% + óxido nitroso medicinal 50%, o paciente deve aguardar tempo suficiente para recuperação de suas funções psicomotoras antes de dirigir veículos ou operar máquinas. A exposição crônica ao oxigênio medicinal 50% + óxido nitroso medicinal 50% pode causar danos cerebrais, lesão aos nervos periféricos, alterações hematológicas e morte, portanto deve-se realizar monitoramento hematológico nos pacientes e profissionais cronicamente expostos. O vazamento de óxido nitroso medicinal em ambientes mal ventilados pode ocasionar tontura, sonolência, narcose, asfixia e morte por falta de oxigênio. A administração ou exposição repetida pode levar à dependência. Em caso de inalação, remova a pessoa para local ventilado e a mantenha em repouso numa posição que não dificulte a respiração. </w:t>
      </w:r>
      <w:r w:rsidRPr="00A1617F">
        <w:rPr>
          <w:rFonts w:ascii="LindeDaxOffice Medium" w:hAnsi="LindeDaxOffice Medium"/>
        </w:rPr>
        <w:lastRenderedPageBreak/>
        <w:t>Deve ser usado com cautela em pacientes com sensibilidade/função quimiorreceptora comprometida (ex.: Doença Pulmonar Obstrutiva Crônica - DPOC) devido ao alto teor de oxigênio. Por inativar a vitamina B12/ácido fólico, o uso prolongado ou frequente pode resultar em alterações megaloblásticas da medula óssea, mieloneuropatia e degeneração combinada subaguda da medula espinhal. Deve-se considerar a possibilidade de reposição da vitamina B12/ácido fólico.</w:t>
      </w:r>
    </w:p>
    <w:p w14:paraId="540B310C" w14:textId="77777777" w:rsidR="00E23153" w:rsidRPr="00A1617F" w:rsidRDefault="00E23153" w:rsidP="00E23153">
      <w:pPr>
        <w:jc w:val="both"/>
        <w:rPr>
          <w:rFonts w:ascii="LindeDaxOffice Medium" w:hAnsi="LindeDaxOffice Medium"/>
        </w:rPr>
      </w:pPr>
      <w:r w:rsidRPr="00A1617F">
        <w:rPr>
          <w:rFonts w:ascii="LindeDaxOffice Medium" w:hAnsi="LindeDaxOffice Medium"/>
          <w:b/>
          <w:bCs/>
        </w:rPr>
        <w:t>Reações Adversas</w:t>
      </w:r>
      <w:r w:rsidRPr="00A1617F">
        <w:rPr>
          <w:rFonts w:ascii="LindeDaxOffice Medium" w:hAnsi="LindeDaxOffice Medium"/>
        </w:rPr>
        <w:t>: náusea e vômito. Dores na cabeça e tontura. Disritmias cardíacas. Pode levar ao aumento de pneumotórax, de embolismo aéreo, da pressão no ouvido médio e nos seios da face, de distensão de alças intestinais e de bolhas de gás no espaço epidural. Hipóxia difusional (hipóxia de Fink). Conforme literatura médica científica de domínio público e da farmacovigilância pós-comercialização, devido aos efeitos do óxido nitroso na vitamina B12, em casos de administração prolongada ou repetida de óxido nitroso, foram relatados casos de anemia megaloblástica e leucopenia. Com administração excepcionalmente intensa ou frequente, foram relatados distúrbios neurológicos como mielopatia ou polineuropatia.</w:t>
      </w:r>
    </w:p>
    <w:p w14:paraId="4C656CE7" w14:textId="77777777" w:rsidR="00E23153" w:rsidRPr="00A1617F" w:rsidRDefault="00E23153" w:rsidP="00E23153">
      <w:pPr>
        <w:jc w:val="both"/>
        <w:rPr>
          <w:rFonts w:ascii="LindeDaxOffice Medium" w:hAnsi="LindeDaxOffice Medium"/>
        </w:rPr>
      </w:pPr>
      <w:r w:rsidRPr="00A1617F">
        <w:rPr>
          <w:rFonts w:ascii="LindeDaxOffice Medium" w:hAnsi="LindeDaxOffice Medium"/>
          <w:b/>
          <w:bCs/>
        </w:rPr>
        <w:t>Interações Medicamentosas</w:t>
      </w:r>
      <w:r w:rsidRPr="00A1617F">
        <w:rPr>
          <w:rFonts w:ascii="LindeDaxOffice Medium" w:hAnsi="LindeDaxOffice Medium"/>
        </w:rPr>
        <w:t>: o oxigênio medicinal 50% + óxido nitroso medicinal 50% potencializa os efeitos do metotrexato. A administração de oxigênio medicinal 50% + óxido nitroso medicinal 50% concomitantemente a outros medicamentos depressores do sistema nervoso central, como derivados de morfina ou benzodiazepínicos, pode resultar em sedação elevada e, consequentemente, afetar a respiração, a circulação sanguínea e os reflexos de proteção. A administração de mistura gasosa contendo oxigênio em altas concentrações pode aumentar o risco de toxicidade pulmonar em pacientes que utilizam amiodarona, bleomicina, nitrofurantoína ou outros antibióticos desta classe.</w:t>
      </w:r>
    </w:p>
    <w:p w14:paraId="26897D13" w14:textId="03E8A4DB" w:rsidR="00903D99" w:rsidRPr="00A1617F" w:rsidRDefault="001A6EAF" w:rsidP="00903D99">
      <w:pPr>
        <w:rPr>
          <w:rFonts w:ascii="LindeDaxOffice Medium" w:hAnsi="LindeDaxOffice Medium"/>
        </w:rPr>
      </w:pPr>
      <w:r w:rsidRPr="00A1617F">
        <w:rPr>
          <w:rFonts w:ascii="LindeDaxOffice Medium" w:hAnsi="LindeDaxOffice Medium"/>
          <w:b/>
          <w:bCs/>
        </w:rPr>
        <w:t>Linha de Produção</w:t>
      </w:r>
      <w:r w:rsidR="00903D99" w:rsidRPr="00A1617F">
        <w:rPr>
          <w:rFonts w:ascii="LindeDaxOffice Medium" w:hAnsi="LindeDaxOffice Medium"/>
          <w:b/>
          <w:bCs/>
        </w:rPr>
        <w:t>:</w:t>
      </w:r>
      <w:r w:rsidR="00484EE3" w:rsidRPr="00A1617F">
        <w:rPr>
          <w:rFonts w:ascii="LindeDaxOffice Medium" w:hAnsi="LindeDaxOffice Medium"/>
          <w:b/>
          <w:bCs/>
        </w:rPr>
        <w:t xml:space="preserve"> </w:t>
      </w:r>
      <w:r w:rsidR="005C4DE0" w:rsidRPr="00A1617F">
        <w:rPr>
          <w:rFonts w:ascii="LindeDaxOffice Medium" w:hAnsi="LindeDaxOffice Medium"/>
        </w:rPr>
        <w:t xml:space="preserve">Gás medicinal, comprimido. </w:t>
      </w:r>
    </w:p>
    <w:p w14:paraId="02C3AEC9" w14:textId="39E18D16" w:rsidR="00136E6C" w:rsidRPr="00A1617F" w:rsidRDefault="001A6EAF" w:rsidP="00136E6C">
      <w:pPr>
        <w:jc w:val="both"/>
        <w:rPr>
          <w:rFonts w:ascii="LindeDaxOffice Medium" w:hAnsi="LindeDaxOffice Medium"/>
        </w:rPr>
      </w:pPr>
      <w:r w:rsidRPr="00A1617F">
        <w:rPr>
          <w:rFonts w:ascii="LindeDaxOffice Medium" w:hAnsi="LindeDaxOffice Medium"/>
          <w:b/>
          <w:bCs/>
        </w:rPr>
        <w:t>Posologia e Administração</w:t>
      </w:r>
      <w:r w:rsidR="00136E6C" w:rsidRPr="00A1617F">
        <w:rPr>
          <w:rFonts w:ascii="LindeDaxOffice Medium" w:hAnsi="LindeDaxOffice Medium"/>
        </w:rPr>
        <w:t>: A concentração, o fluxo e o tempo de administração dos gases medicinais devem ser determinados pelo profissional de saúde habilitado de acordo com o procedimento realizado e o estado de saúde do paciente. Na administração dos gases medicinais por inalação deve-se assegurar quantidade adequada de oxigênio na mistura de acordo com o procedimento realizado e o estado de saúde do paciente, a fim de evitar asfixia. Para uso domiciliar, o paciente deve receber treinamento completo sobre o uso do gás medicinal e equipamentos.</w:t>
      </w:r>
    </w:p>
    <w:p w14:paraId="2B102C31" w14:textId="6C388E54" w:rsidR="00FD7C33" w:rsidRPr="00A1617F" w:rsidRDefault="001A6EAF" w:rsidP="00F20D6D">
      <w:pPr>
        <w:jc w:val="both"/>
        <w:rPr>
          <w:rFonts w:ascii="LindeDaxOffice Medium" w:hAnsi="LindeDaxOffice Medium"/>
        </w:rPr>
      </w:pPr>
      <w:r w:rsidRPr="00A1617F">
        <w:rPr>
          <w:rFonts w:ascii="LindeDaxOffice Medium" w:hAnsi="LindeDaxOffice Medium"/>
          <w:b/>
          <w:bCs/>
        </w:rPr>
        <w:t>Manuseio e Armazenamento</w:t>
      </w:r>
      <w:r w:rsidR="00FD7C33" w:rsidRPr="00A1617F">
        <w:rPr>
          <w:rFonts w:ascii="LindeDaxOffice Medium" w:hAnsi="LindeDaxOffice Medium"/>
          <w:b/>
          <w:bCs/>
        </w:rPr>
        <w:t>:</w:t>
      </w:r>
      <w:r w:rsidR="00FD7C33" w:rsidRPr="00A1617F">
        <w:rPr>
          <w:rFonts w:ascii="LindeDaxOffice Medium" w:hAnsi="LindeDaxOffice Medium"/>
        </w:rPr>
        <w:t xml:space="preserve"> </w:t>
      </w:r>
      <w:r w:rsidR="001B0996" w:rsidRPr="00A1617F">
        <w:rPr>
          <w:rFonts w:ascii="LindeDaxOffice Medium" w:hAnsi="LindeDaxOffice Medium"/>
        </w:rPr>
        <w:t>Os cilindros devem ser mantidos secos e limpos, armazenados em temperaturas</w:t>
      </w:r>
      <w:r w:rsidR="008273A9" w:rsidRPr="00A1617F">
        <w:rPr>
          <w:rFonts w:ascii="LindeDaxOffice Medium" w:hAnsi="LindeDaxOffice Medium"/>
        </w:rPr>
        <w:t xml:space="preserve"> de +10 e +</w:t>
      </w:r>
      <w:r w:rsidR="00682590" w:rsidRPr="00A1617F">
        <w:rPr>
          <w:rFonts w:ascii="LindeDaxOffice Medium" w:hAnsi="LindeDaxOffice Medium"/>
        </w:rPr>
        <w:t>52</w:t>
      </w:r>
      <w:r w:rsidR="008273A9" w:rsidRPr="00A1617F">
        <w:rPr>
          <w:rFonts w:ascii="LindeDaxOffice Medium" w:hAnsi="LindeDaxOffice Medium"/>
        </w:rPr>
        <w:t>°C</w:t>
      </w:r>
      <w:r w:rsidR="00672F0C" w:rsidRPr="00A1617F">
        <w:rPr>
          <w:rFonts w:ascii="LindeDaxOffice Medium" w:hAnsi="LindeDaxOffice Medium"/>
        </w:rPr>
        <w:t>, fixados na posição vertical em área limpa, bem ventilada, protegidos da chuva, de substâncias inflamáveis, de choques, de quedas, de altas temperaturas e de fontes de ignição</w:t>
      </w:r>
      <w:r w:rsidR="008325E8" w:rsidRPr="00A1617F">
        <w:rPr>
          <w:rFonts w:ascii="LindeDaxOffice Medium" w:hAnsi="LindeDaxOffice Medium"/>
        </w:rPr>
        <w:t>.</w:t>
      </w:r>
      <w:r w:rsidR="00921C92" w:rsidRPr="00A1617F">
        <w:rPr>
          <w:rFonts w:ascii="LindeDaxOffice Medium" w:hAnsi="LindeDaxOffice Medium"/>
        </w:rPr>
        <w:t xml:space="preserve"> </w:t>
      </w:r>
      <w:r w:rsidR="007C1456" w:rsidRPr="00A1617F">
        <w:rPr>
          <w:rFonts w:ascii="LindeDaxOffice Medium" w:hAnsi="LindeDaxOffice Medium"/>
        </w:rPr>
        <w:t xml:space="preserve">Proteja o cilindro contra baixas temperaturas. </w:t>
      </w:r>
      <w:r w:rsidR="00312D33" w:rsidRPr="00A1617F">
        <w:rPr>
          <w:rFonts w:ascii="LindeDaxOffice Medium" w:hAnsi="LindeDaxOffice Medium"/>
        </w:rPr>
        <w:t xml:space="preserve">O produto é sensível a baixas temperaturas. A mistura pode separar-se a temperaturas inferiores a -5°C, trazendo riscos ao tratamento. Se houver suspeita de que os cilindros foram expostos a temperaturas </w:t>
      </w:r>
      <w:r w:rsidR="007C1456" w:rsidRPr="00A1617F">
        <w:rPr>
          <w:rFonts w:ascii="LindeDaxOffice Medium" w:hAnsi="LindeDaxOffice Medium"/>
        </w:rPr>
        <w:t>mais baixas</w:t>
      </w:r>
      <w:r w:rsidR="00312D33" w:rsidRPr="00A1617F">
        <w:rPr>
          <w:rFonts w:ascii="LindeDaxOffice Medium" w:hAnsi="LindeDaxOffice Medium"/>
        </w:rPr>
        <w:t>, os cilindros devem ser armazenados em POSIÇÃO HORIZONTAL por pelo menos 48 horas a uma temperatura entre +10 e +30°C antes d</w:t>
      </w:r>
      <w:r w:rsidR="00DD6F38" w:rsidRPr="00A1617F">
        <w:rPr>
          <w:rFonts w:ascii="LindeDaxOffice Medium" w:hAnsi="LindeDaxOffice Medium"/>
        </w:rPr>
        <w:t>o</w:t>
      </w:r>
      <w:r w:rsidR="00312D33" w:rsidRPr="00A1617F">
        <w:rPr>
          <w:rFonts w:ascii="LindeDaxOffice Medium" w:hAnsi="LindeDaxOffice Medium"/>
        </w:rPr>
        <w:t xml:space="preserve"> us</w:t>
      </w:r>
      <w:r w:rsidR="00DD6F38" w:rsidRPr="00A1617F">
        <w:rPr>
          <w:rFonts w:ascii="LindeDaxOffice Medium" w:hAnsi="LindeDaxOffice Medium"/>
        </w:rPr>
        <w:t>o</w:t>
      </w:r>
      <w:r w:rsidR="00312D33" w:rsidRPr="00A1617F">
        <w:rPr>
          <w:rFonts w:ascii="LindeDaxOffice Medium" w:hAnsi="LindeDaxOffice Medium"/>
        </w:rPr>
        <w:t xml:space="preserve">. </w:t>
      </w:r>
      <w:r w:rsidR="00A56FF3" w:rsidRPr="00A1617F">
        <w:rPr>
          <w:rFonts w:ascii="LindeDaxOffice Medium" w:hAnsi="LindeDaxOffice Medium"/>
        </w:rPr>
        <w:t>Manusear os cilindros sempre com as mãos limpas, sem gordura (não use creme para rosto ou as mãos, protetores labiais e batom), não utilizar óleo ou graxa para conectar ou desemperrar os dispositivos ao cilindro pois há risco de combustão espontânea destes materiais com gases comburentes sob alta pressão e concentração. Pode provocar ou agravar um incêndio, oxidante; contém gás sob pressão; pode explodir sob ação do calor.</w:t>
      </w:r>
      <w:r w:rsidR="00DF17BE" w:rsidRPr="00A1617F">
        <w:rPr>
          <w:rFonts w:ascii="LindeDaxOffice Medium" w:hAnsi="LindeDaxOffice Medium"/>
        </w:rPr>
        <w:t xml:space="preserve"> Havendo problemas no conjunto válvula/regulador ou durante a limpeza, verificar a compatibilidade dos produtos utilizados. Não manusear os cilindros segurando-os por sua válvula, use sempre o capacete. Não arrastar ou rolar os cilindros pelo chão. Não submeter os cilindros a pancadas mecânicas, golpes ou quedas, ou equipamentos energizados. Quando os cilindros forem instalados em sistemas centralizados, utilizar válvula de retenção na linha de saída para impedir o retorno do gás medicinal para o cilindro. Verificar a identificação do gás medicinal, pressão e compatibilidade dos dispositivos antes de fazer a ligação do cilindro ao sistema.</w:t>
      </w:r>
      <w:r w:rsidR="00AC68C4" w:rsidRPr="00A1617F">
        <w:rPr>
          <w:rFonts w:ascii="LindeDaxOffice Medium" w:hAnsi="LindeDaxOffice Medium"/>
        </w:rPr>
        <w:t xml:space="preserve"> </w:t>
      </w:r>
      <w:r w:rsidR="00706305" w:rsidRPr="00A1617F">
        <w:rPr>
          <w:rFonts w:ascii="LindeDaxOffice Medium" w:hAnsi="LindeDaxOffice Medium"/>
        </w:rPr>
        <w:t>Cilindros de gases diferentes, cheios e vazios, devem ser armazenados separadamente, transportados com as válvulas fechadas</w:t>
      </w:r>
      <w:r w:rsidR="007A0F86" w:rsidRPr="00A1617F">
        <w:rPr>
          <w:rFonts w:ascii="LindeDaxOffice Medium" w:hAnsi="LindeDaxOffice Medium"/>
        </w:rPr>
        <w:t>,</w:t>
      </w:r>
      <w:r w:rsidR="00706305" w:rsidRPr="00A1617F">
        <w:rPr>
          <w:rFonts w:ascii="LindeDaxOffice Medium" w:hAnsi="LindeDaxOffice Medium"/>
        </w:rPr>
        <w:t xml:space="preserve"> possuir um lacre inv</w:t>
      </w:r>
      <w:r w:rsidR="008F6152" w:rsidRPr="00A1617F">
        <w:rPr>
          <w:rFonts w:ascii="LindeDaxOffice Medium" w:hAnsi="LindeDaxOffice Medium"/>
        </w:rPr>
        <w:t>i</w:t>
      </w:r>
      <w:r w:rsidR="00706305" w:rsidRPr="00A1617F">
        <w:rPr>
          <w:rFonts w:ascii="LindeDaxOffice Medium" w:hAnsi="LindeDaxOffice Medium"/>
        </w:rPr>
        <w:t>olado</w:t>
      </w:r>
      <w:r w:rsidR="007A0F86" w:rsidRPr="00A1617F">
        <w:rPr>
          <w:rFonts w:ascii="LindeDaxOffice Medium" w:hAnsi="LindeDaxOffice Medium"/>
        </w:rPr>
        <w:t xml:space="preserve"> e rótulo legível</w:t>
      </w:r>
      <w:r w:rsidR="00312D33" w:rsidRPr="00A1617F">
        <w:rPr>
          <w:rFonts w:ascii="LindeDaxOffice Medium" w:hAnsi="LindeDaxOffice Medium"/>
        </w:rPr>
        <w:t>.</w:t>
      </w:r>
      <w:r w:rsidR="00226F1C" w:rsidRPr="00A1617F">
        <w:rPr>
          <w:rFonts w:ascii="LindeDaxOffice Medium" w:hAnsi="LindeDaxOffice Medium"/>
        </w:rPr>
        <w:t xml:space="preserve"> </w:t>
      </w:r>
      <w:r w:rsidR="00312D33" w:rsidRPr="00A1617F">
        <w:rPr>
          <w:rFonts w:ascii="LindeDaxOffice Medium" w:hAnsi="LindeDaxOffice Medium"/>
        </w:rPr>
        <w:t xml:space="preserve">Antes </w:t>
      </w:r>
      <w:r w:rsidR="002B5B4F" w:rsidRPr="00A1617F">
        <w:rPr>
          <w:rFonts w:ascii="LindeDaxOffice Medium" w:hAnsi="LindeDaxOffice Medium"/>
        </w:rPr>
        <w:t xml:space="preserve">e durante </w:t>
      </w:r>
      <w:r w:rsidR="00312D33" w:rsidRPr="00A1617F">
        <w:rPr>
          <w:rFonts w:ascii="LindeDaxOffice Medium" w:hAnsi="LindeDaxOffice Medium"/>
        </w:rPr>
        <w:t>qualquer uso, certifique-se de que a quantidade</w:t>
      </w:r>
      <w:r w:rsidR="002B5B4F" w:rsidRPr="00A1617F">
        <w:rPr>
          <w:rFonts w:ascii="LindeDaxOffice Medium" w:hAnsi="LindeDaxOffice Medium"/>
        </w:rPr>
        <w:t xml:space="preserve"> de produto </w:t>
      </w:r>
      <w:r w:rsidR="002B5B4F" w:rsidRPr="00A1617F">
        <w:rPr>
          <w:rFonts w:ascii="LindeDaxOffice Medium" w:hAnsi="LindeDaxOffice Medium"/>
        </w:rPr>
        <w:lastRenderedPageBreak/>
        <w:t>é</w:t>
      </w:r>
      <w:r w:rsidR="00312D33" w:rsidRPr="00A1617F">
        <w:rPr>
          <w:rFonts w:ascii="LindeDaxOffice Medium" w:hAnsi="LindeDaxOffice Medium"/>
        </w:rPr>
        <w:t xml:space="preserve"> suficiente para permitir </w:t>
      </w:r>
      <w:r w:rsidR="002B5B4F" w:rsidRPr="00A1617F">
        <w:rPr>
          <w:rFonts w:ascii="LindeDaxOffice Medium" w:hAnsi="LindeDaxOffice Medium"/>
        </w:rPr>
        <w:t xml:space="preserve">o fluxo necessário e </w:t>
      </w:r>
      <w:r w:rsidR="00312D33" w:rsidRPr="00A1617F">
        <w:rPr>
          <w:rFonts w:ascii="LindeDaxOffice Medium" w:hAnsi="LindeDaxOffice Medium"/>
        </w:rPr>
        <w:t>a conclusão d</w:t>
      </w:r>
      <w:r w:rsidR="002B5B4F" w:rsidRPr="00A1617F">
        <w:rPr>
          <w:rFonts w:ascii="LindeDaxOffice Medium" w:hAnsi="LindeDaxOffice Medium"/>
        </w:rPr>
        <w:t>a administração</w:t>
      </w:r>
      <w:r w:rsidR="00312D33" w:rsidRPr="00A1617F">
        <w:rPr>
          <w:rFonts w:ascii="LindeDaxOffice Medium" w:hAnsi="LindeDaxOffice Medium"/>
        </w:rPr>
        <w:t>.</w:t>
      </w:r>
      <w:r w:rsidR="00472966" w:rsidRPr="00A1617F">
        <w:rPr>
          <w:rFonts w:ascii="LindeDaxOffice Medium" w:hAnsi="LindeDaxOffice Medium"/>
        </w:rPr>
        <w:t xml:space="preserve"> </w:t>
      </w:r>
      <w:r w:rsidR="005D6D0F" w:rsidRPr="00A1617F">
        <w:rPr>
          <w:rFonts w:ascii="LindeDaxOffice Medium" w:hAnsi="LindeDaxOffice Medium"/>
        </w:rPr>
        <w:t>Por medida de segurança, é proibido o transvasamento deste produto de um cilindro para outro.</w:t>
      </w:r>
    </w:p>
    <w:p w14:paraId="60C431A8" w14:textId="77777777" w:rsidR="00F933CB" w:rsidRPr="00A1617F" w:rsidRDefault="00F933CB" w:rsidP="00F933CB">
      <w:pPr>
        <w:rPr>
          <w:rFonts w:ascii="LindeDaxOffice Medium" w:hAnsi="LindeDaxOffice Medium"/>
        </w:rPr>
      </w:pPr>
      <w:r w:rsidRPr="00A1617F">
        <w:rPr>
          <w:rFonts w:ascii="LindeDaxOffice Medium" w:hAnsi="LindeDaxOffice Medium"/>
        </w:rPr>
        <w:t>Informe ao seu médico ou cirurgião-dentista o aparecimento de reações indesejáveis pelo uso do gás medicinal. Informe também à empresa através do seu serviço de atendimento.</w:t>
      </w:r>
    </w:p>
    <w:p w14:paraId="06CA85FC" w14:textId="77777777" w:rsidR="001A17E1" w:rsidRPr="00A1617F" w:rsidRDefault="001A17E1" w:rsidP="001A17E1">
      <w:pPr>
        <w:rPr>
          <w:rFonts w:ascii="LindeDaxOffice Medium" w:hAnsi="LindeDaxOffice Medium"/>
        </w:rPr>
      </w:pPr>
      <w:r w:rsidRPr="00A1617F">
        <w:rPr>
          <w:rFonts w:ascii="LindeDaxOffice Medium" w:hAnsi="LindeDaxOffice Medium"/>
        </w:rPr>
        <w:t>Em caso de dúvidas sobre o uso deste gás medicinal, procure orientação de um profissional de saúde.</w:t>
      </w:r>
    </w:p>
    <w:p w14:paraId="4111C54E" w14:textId="77777777" w:rsidR="008F13DE" w:rsidRPr="00A1617F" w:rsidRDefault="008F13DE" w:rsidP="008F13DE">
      <w:pPr>
        <w:rPr>
          <w:rFonts w:ascii="LindeDaxOffice Medium" w:hAnsi="LindeDaxOffice Medium"/>
        </w:rPr>
      </w:pPr>
      <w:r w:rsidRPr="00A1617F">
        <w:rPr>
          <w:rFonts w:ascii="LindeDaxOffice Medium" w:hAnsi="LindeDaxOffice Medium"/>
        </w:rPr>
        <w:t>TODO MEDICAMENTO DEVE SER MANTIDO FORA DO ALCANCE DAS CRIANÇAS</w:t>
      </w:r>
    </w:p>
    <w:p w14:paraId="78434F57" w14:textId="77777777" w:rsidR="00903D99" w:rsidRPr="001A6EAF" w:rsidRDefault="00903D99" w:rsidP="00903D99">
      <w:pPr>
        <w:rPr>
          <w:rFonts w:ascii="LindeDaxOffice Medium" w:hAnsi="LindeDaxOffice Medium"/>
        </w:rPr>
      </w:pPr>
      <w:r w:rsidRPr="001A6EAF">
        <w:rPr>
          <w:rFonts w:ascii="LindeDaxOffice Medium" w:hAnsi="LindeDaxOffice Medium"/>
        </w:rPr>
        <w:t>Uso sob prescrição médica. Produto exclusivamente de uso medicinal.</w:t>
      </w:r>
    </w:p>
    <w:p w14:paraId="06A417CC" w14:textId="77777777" w:rsidR="00735C58" w:rsidRPr="00A1617F" w:rsidRDefault="00735C58" w:rsidP="00735C58">
      <w:pPr>
        <w:rPr>
          <w:rFonts w:ascii="LindeDaxOffice Medium" w:hAnsi="LindeDaxOffice Medium"/>
        </w:rPr>
      </w:pPr>
      <w:r w:rsidRPr="00A1617F">
        <w:rPr>
          <w:rFonts w:ascii="LindeDaxOffice Medium" w:hAnsi="LindeDaxOffice Medium"/>
        </w:rPr>
        <w:t>Gás medicinal notificado conforme RDC nº 870, de 17 de maio de 2024.</w:t>
      </w:r>
    </w:p>
    <w:p w14:paraId="4A00A112" w14:textId="77777777" w:rsidR="00523B33" w:rsidRDefault="00523B33" w:rsidP="00523B33">
      <w:pPr>
        <w:rPr>
          <w:rFonts w:ascii="LindeDaxOffice Medium" w:hAnsi="LindeDaxOffice Medium"/>
          <w:color w:val="000000" w:themeColor="text1"/>
        </w:rPr>
      </w:pPr>
      <w:r w:rsidRPr="009E4DAF">
        <w:rPr>
          <w:rFonts w:ascii="LindeDaxOffice Medium" w:hAnsi="LindeDaxOffice Medium"/>
          <w:b/>
          <w:bCs/>
          <w:color w:val="000000" w:themeColor="text1"/>
        </w:rPr>
        <w:t xml:space="preserve">Notificado por: </w:t>
      </w:r>
      <w:r w:rsidRPr="009E4DAF">
        <w:rPr>
          <w:rFonts w:ascii="LindeDaxOffice Medium" w:hAnsi="LindeDaxOffice Medium"/>
          <w:color w:val="000000" w:themeColor="text1"/>
        </w:rPr>
        <w:t xml:space="preserve">White Martins Gases Industriais Ltda. CNPJ: </w:t>
      </w:r>
      <w:r w:rsidRPr="00F039C6">
        <w:rPr>
          <w:rFonts w:ascii="LindeDaxOffice Medium" w:hAnsi="LindeDaxOffice Medium"/>
          <w:color w:val="000000" w:themeColor="text1"/>
        </w:rPr>
        <w:t>35.820.448/0007-21</w:t>
      </w:r>
      <w:r>
        <w:rPr>
          <w:rFonts w:ascii="LindeDaxOffice Medium" w:hAnsi="LindeDaxOffice Medium"/>
          <w:color w:val="000000" w:themeColor="text1"/>
        </w:rPr>
        <w:t>,</w:t>
      </w:r>
      <w:r w:rsidRPr="009E4DAF">
        <w:rPr>
          <w:rFonts w:ascii="LindeDaxOffice Medium" w:hAnsi="LindeDaxOffice Medium"/>
          <w:b/>
          <w:bCs/>
          <w:color w:val="000000" w:themeColor="text1"/>
        </w:rPr>
        <w:t xml:space="preserve"> </w:t>
      </w:r>
      <w:r w:rsidRPr="00B8568F">
        <w:rPr>
          <w:rFonts w:ascii="LindeDaxOffice Medium" w:hAnsi="LindeDaxOffice Medium"/>
          <w:color w:val="000000" w:themeColor="text1"/>
        </w:rPr>
        <w:t>Rua Guianas, 80</w:t>
      </w:r>
      <w:r>
        <w:rPr>
          <w:rFonts w:ascii="LindeDaxOffice Medium" w:hAnsi="LindeDaxOffice Medium"/>
          <w:color w:val="000000" w:themeColor="text1"/>
        </w:rPr>
        <w:t>,</w:t>
      </w:r>
      <w:r w:rsidRPr="00B8568F">
        <w:rPr>
          <w:rFonts w:ascii="LindeDaxOffice Medium" w:hAnsi="LindeDaxOffice Medium"/>
          <w:color w:val="000000" w:themeColor="text1"/>
        </w:rPr>
        <w:t xml:space="preserve"> PARTE, Campos Eliseos, </w:t>
      </w:r>
      <w:r w:rsidRPr="00381C30">
        <w:rPr>
          <w:rFonts w:ascii="LindeDaxOffice Medium" w:hAnsi="LindeDaxOffice Medium"/>
          <w:color w:val="000000" w:themeColor="text1"/>
        </w:rPr>
        <w:t xml:space="preserve">Duque </w:t>
      </w:r>
      <w:r>
        <w:rPr>
          <w:rFonts w:ascii="LindeDaxOffice Medium" w:hAnsi="LindeDaxOffice Medium"/>
          <w:color w:val="000000" w:themeColor="text1"/>
        </w:rPr>
        <w:t>de</w:t>
      </w:r>
      <w:r w:rsidRPr="00381C30">
        <w:rPr>
          <w:rFonts w:ascii="LindeDaxOffice Medium" w:hAnsi="LindeDaxOffice Medium"/>
          <w:color w:val="000000" w:themeColor="text1"/>
        </w:rPr>
        <w:t xml:space="preserve"> Caxias-RJ</w:t>
      </w:r>
      <w:r>
        <w:rPr>
          <w:rFonts w:ascii="LindeDaxOffice Medium" w:hAnsi="LindeDaxOffice Medium"/>
          <w:color w:val="000000" w:themeColor="text1"/>
        </w:rPr>
        <w:t>,</w:t>
      </w:r>
      <w:r w:rsidRPr="00B8568F">
        <w:rPr>
          <w:rFonts w:ascii="LindeDaxOffice Medium" w:hAnsi="LindeDaxOffice Medium"/>
          <w:color w:val="000000" w:themeColor="text1"/>
        </w:rPr>
        <w:t xml:space="preserve"> CEP 25225-170</w:t>
      </w:r>
      <w:r w:rsidRPr="009E4DAF">
        <w:rPr>
          <w:rFonts w:ascii="LindeDaxOffice Medium" w:hAnsi="LindeDaxOffice Medium"/>
          <w:color w:val="000000" w:themeColor="text1"/>
        </w:rPr>
        <w:t>.</w:t>
      </w:r>
    </w:p>
    <w:p w14:paraId="153016DE" w14:textId="77777777" w:rsidR="00523B33" w:rsidRDefault="00523B33" w:rsidP="00523B33">
      <w:pPr>
        <w:rPr>
          <w:rFonts w:ascii="LindeDaxOffice Medium" w:hAnsi="LindeDaxOffice Medium"/>
          <w:color w:val="000000" w:themeColor="text1"/>
        </w:rPr>
      </w:pPr>
      <w:r w:rsidRPr="009E4DAF">
        <w:rPr>
          <w:rFonts w:ascii="LindeDaxOffice Medium" w:hAnsi="LindeDaxOffice Medium"/>
          <w:b/>
          <w:bCs/>
          <w:color w:val="000000" w:themeColor="text1"/>
        </w:rPr>
        <w:t>Envasado por:</w:t>
      </w:r>
      <w:r w:rsidRPr="009E4DAF">
        <w:rPr>
          <w:rFonts w:ascii="LindeDaxOffice Medium" w:hAnsi="LindeDaxOffice Medium"/>
          <w:color w:val="000000" w:themeColor="text1"/>
        </w:rPr>
        <w:t xml:space="preserve"> </w:t>
      </w:r>
      <w:r w:rsidRPr="00C1489A">
        <w:rPr>
          <w:rFonts w:ascii="LindeDaxOffice Medium" w:hAnsi="LindeDaxOffice Medium"/>
          <w:color w:val="000000" w:themeColor="text1"/>
        </w:rPr>
        <w:t>White Martins Gases Industriais Ltda. CNPJ: 35.820.448/0213-03</w:t>
      </w:r>
      <w:r>
        <w:rPr>
          <w:rFonts w:ascii="LindeDaxOffice Medium" w:hAnsi="LindeDaxOffice Medium"/>
          <w:color w:val="000000" w:themeColor="text1"/>
        </w:rPr>
        <w:t xml:space="preserve">, </w:t>
      </w:r>
      <w:r w:rsidRPr="00C1489A">
        <w:rPr>
          <w:rFonts w:ascii="LindeDaxOffice Medium" w:hAnsi="LindeDaxOffice Medium"/>
          <w:color w:val="000000" w:themeColor="text1"/>
        </w:rPr>
        <w:t>Rua Iracema Lucas, 255</w:t>
      </w:r>
      <w:r>
        <w:rPr>
          <w:rFonts w:ascii="LindeDaxOffice Medium" w:hAnsi="LindeDaxOffice Medium"/>
          <w:color w:val="000000" w:themeColor="text1"/>
        </w:rPr>
        <w:t>,</w:t>
      </w:r>
      <w:r w:rsidRPr="00C1489A">
        <w:rPr>
          <w:rFonts w:ascii="LindeDaxOffice Medium" w:hAnsi="LindeDaxOffice Medium"/>
          <w:color w:val="000000" w:themeColor="text1"/>
        </w:rPr>
        <w:t xml:space="preserve"> Distrito Industrial Benedito Storani</w:t>
      </w:r>
      <w:r>
        <w:rPr>
          <w:rFonts w:ascii="LindeDaxOffice Medium" w:hAnsi="LindeDaxOffice Medium"/>
          <w:color w:val="000000" w:themeColor="text1"/>
        </w:rPr>
        <w:t>,</w:t>
      </w:r>
      <w:r w:rsidRPr="00C1489A">
        <w:rPr>
          <w:rFonts w:ascii="LindeDaxOffice Medium" w:hAnsi="LindeDaxOffice Medium"/>
          <w:color w:val="000000" w:themeColor="text1"/>
        </w:rPr>
        <w:t xml:space="preserve"> Vinhedo/SP</w:t>
      </w:r>
      <w:r>
        <w:rPr>
          <w:rFonts w:ascii="LindeDaxOffice Medium" w:hAnsi="LindeDaxOffice Medium"/>
          <w:color w:val="000000" w:themeColor="text1"/>
        </w:rPr>
        <w:t xml:space="preserve">, </w:t>
      </w:r>
      <w:r w:rsidRPr="00C1489A">
        <w:rPr>
          <w:rFonts w:ascii="LindeDaxOffice Medium" w:hAnsi="LindeDaxOffice Medium"/>
          <w:color w:val="000000" w:themeColor="text1"/>
        </w:rPr>
        <w:t>CEP: 13288-172</w:t>
      </w:r>
      <w:r w:rsidRPr="009E4DAF">
        <w:rPr>
          <w:rFonts w:ascii="LindeDaxOffice Medium" w:hAnsi="LindeDaxOffice Medium"/>
          <w:color w:val="000000" w:themeColor="text1"/>
        </w:rPr>
        <w:t>.</w:t>
      </w:r>
    </w:p>
    <w:p w14:paraId="70EA08A1" w14:textId="77777777" w:rsidR="00523B33" w:rsidRDefault="00523B33" w:rsidP="00523B33">
      <w:pPr>
        <w:rPr>
          <w:rFonts w:ascii="LindeDaxOffice Medium" w:hAnsi="LindeDaxOffice Medium"/>
          <w:color w:val="000000" w:themeColor="text1"/>
        </w:rPr>
      </w:pPr>
      <w:r w:rsidRPr="009E4DAF">
        <w:rPr>
          <w:rFonts w:ascii="LindeDaxOffice Medium" w:hAnsi="LindeDaxOffice Medium"/>
          <w:b/>
          <w:bCs/>
          <w:color w:val="000000" w:themeColor="text1"/>
        </w:rPr>
        <w:t xml:space="preserve">Farmacêutico Responsável: </w:t>
      </w:r>
      <w:r w:rsidRPr="009E4DAF">
        <w:rPr>
          <w:rFonts w:ascii="LindeDaxOffice Medium" w:hAnsi="LindeDaxOffice Medium"/>
          <w:color w:val="000000" w:themeColor="text1"/>
        </w:rPr>
        <w:t>Patricia E. M Pinto Malheiros</w:t>
      </w:r>
      <w:r>
        <w:rPr>
          <w:rFonts w:ascii="LindeDaxOffice Medium" w:hAnsi="LindeDaxOffice Medium"/>
          <w:color w:val="000000" w:themeColor="text1"/>
        </w:rPr>
        <w:t>,</w:t>
      </w:r>
      <w:r w:rsidRPr="009E4DAF">
        <w:rPr>
          <w:rFonts w:ascii="LindeDaxOffice Medium" w:hAnsi="LindeDaxOffice Medium"/>
          <w:color w:val="000000" w:themeColor="text1"/>
        </w:rPr>
        <w:t xml:space="preserve"> CRF</w:t>
      </w:r>
      <w:r>
        <w:rPr>
          <w:rFonts w:ascii="LindeDaxOffice Medium" w:hAnsi="LindeDaxOffice Medium"/>
          <w:color w:val="000000" w:themeColor="text1"/>
        </w:rPr>
        <w:t>-</w:t>
      </w:r>
      <w:r w:rsidRPr="009E4DAF">
        <w:rPr>
          <w:rFonts w:ascii="LindeDaxOffice Medium" w:hAnsi="LindeDaxOffice Medium"/>
          <w:color w:val="000000" w:themeColor="text1"/>
        </w:rPr>
        <w:t>RJ</w:t>
      </w:r>
      <w:r>
        <w:rPr>
          <w:rFonts w:ascii="LindeDaxOffice Medium" w:hAnsi="LindeDaxOffice Medium"/>
          <w:color w:val="000000" w:themeColor="text1"/>
        </w:rPr>
        <w:t xml:space="preserve"> </w:t>
      </w:r>
      <w:r w:rsidRPr="009E4DAF">
        <w:rPr>
          <w:rFonts w:ascii="LindeDaxOffice Medium" w:hAnsi="LindeDaxOffice Medium"/>
          <w:color w:val="000000" w:themeColor="text1"/>
        </w:rPr>
        <w:t>7384</w:t>
      </w:r>
      <w:r>
        <w:rPr>
          <w:rFonts w:ascii="LindeDaxOffice Medium" w:hAnsi="LindeDaxOffice Medium"/>
          <w:color w:val="000000" w:themeColor="text1"/>
        </w:rPr>
        <w:t>.</w:t>
      </w:r>
    </w:p>
    <w:p w14:paraId="5D59FB5A" w14:textId="77777777" w:rsidR="00523B33" w:rsidRDefault="00523B33" w:rsidP="00523B33">
      <w:pPr>
        <w:rPr>
          <w:rFonts w:ascii="LindeDaxOffice Medium" w:hAnsi="LindeDaxOffice Medium"/>
        </w:rPr>
      </w:pPr>
      <w:r w:rsidRPr="00E349C1">
        <w:rPr>
          <w:rFonts w:ascii="LindeDaxOffice Medium" w:hAnsi="LindeDaxOffice Medium"/>
        </w:rPr>
        <w:t xml:space="preserve">A Ficha de </w:t>
      </w:r>
      <w:r>
        <w:rPr>
          <w:rFonts w:ascii="LindeDaxOffice Medium" w:hAnsi="LindeDaxOffice Medium"/>
        </w:rPr>
        <w:t>Dados</w:t>
      </w:r>
      <w:r w:rsidRPr="00E349C1">
        <w:rPr>
          <w:rFonts w:ascii="LindeDaxOffice Medium" w:hAnsi="LindeDaxOffice Medium"/>
        </w:rPr>
        <w:t xml:space="preserve"> de Segurança </w:t>
      </w:r>
      <w:r>
        <w:rPr>
          <w:rFonts w:ascii="LindeDaxOffice Medium" w:hAnsi="LindeDaxOffice Medium"/>
        </w:rPr>
        <w:t xml:space="preserve">(FDS) </w:t>
      </w:r>
      <w:r w:rsidRPr="00E349C1">
        <w:rPr>
          <w:rFonts w:ascii="LindeDaxOffice Medium" w:hAnsi="LindeDaxOffice Medium"/>
        </w:rPr>
        <w:t xml:space="preserve">deste produto químico perigoso pode ser obtida através da </w:t>
      </w:r>
      <w:r w:rsidRPr="00E349C1">
        <w:rPr>
          <w:rFonts w:ascii="LindeDaxOffice Medium" w:hAnsi="LindeDaxOffice Medium"/>
          <w:b/>
          <w:bCs/>
        </w:rPr>
        <w:t>Central de Atendimento 0800 709-9000 ou www.whitemartins.com.br</w:t>
      </w:r>
      <w:r w:rsidRPr="00E349C1">
        <w:rPr>
          <w:rFonts w:ascii="LindeDaxOffice Medium" w:hAnsi="LindeDaxOffice Medium"/>
        </w:rPr>
        <w:t>.</w:t>
      </w:r>
    </w:p>
    <w:p w14:paraId="0CF605EA" w14:textId="600C9711" w:rsidR="00226F1C" w:rsidRPr="00A1617F" w:rsidRDefault="00523B33" w:rsidP="00523B33">
      <w:pPr>
        <w:rPr>
          <w:rFonts w:ascii="LindeDaxOffice Medium" w:hAnsi="LindeDaxOffice Medium"/>
        </w:rPr>
      </w:pPr>
      <w:r>
        <w:rPr>
          <w:rFonts w:ascii="LindeDaxOffice Medium" w:hAnsi="LindeDaxOffice Medium"/>
        </w:rPr>
        <w:t>Em casos de emergências l</w:t>
      </w:r>
      <w:r w:rsidRPr="00E349C1">
        <w:rPr>
          <w:rFonts w:ascii="LindeDaxOffice Medium" w:hAnsi="LindeDaxOffice Medium"/>
        </w:rPr>
        <w:t>igue para 0800 709 9003</w:t>
      </w:r>
      <w:r>
        <w:rPr>
          <w:rFonts w:ascii="LindeDaxOffice Medium" w:hAnsi="LindeDaxOffice Medium"/>
        </w:rPr>
        <w:t>.</w:t>
      </w:r>
    </w:p>
    <w:p w14:paraId="1C724776" w14:textId="77777777" w:rsidR="00226F1C" w:rsidRPr="00A1617F" w:rsidRDefault="00226F1C" w:rsidP="00735C58">
      <w:pPr>
        <w:rPr>
          <w:rFonts w:ascii="LindeDaxOffice Medium" w:hAnsi="LindeDaxOffice Medium"/>
        </w:rPr>
      </w:pPr>
    </w:p>
    <w:p w14:paraId="2946A76E" w14:textId="77777777" w:rsidR="00226F1C" w:rsidRPr="00A1617F" w:rsidRDefault="00226F1C" w:rsidP="00735C58">
      <w:pPr>
        <w:rPr>
          <w:rFonts w:ascii="LindeDaxOffice Medium" w:hAnsi="LindeDaxOffice Medium"/>
        </w:rPr>
      </w:pPr>
    </w:p>
    <w:p w14:paraId="770AEE9D" w14:textId="77777777" w:rsidR="00226F1C" w:rsidRPr="00A1617F" w:rsidRDefault="00226F1C" w:rsidP="00735C58">
      <w:pPr>
        <w:rPr>
          <w:rFonts w:ascii="LindeDaxOffice Medium" w:hAnsi="LindeDaxOffice Medium"/>
        </w:rPr>
      </w:pPr>
    </w:p>
    <w:p w14:paraId="7A8E0E7F" w14:textId="77777777" w:rsidR="00226F1C" w:rsidRPr="00A1617F" w:rsidRDefault="00226F1C" w:rsidP="00735C58">
      <w:pPr>
        <w:rPr>
          <w:rFonts w:ascii="LindeDaxOffice Medium" w:hAnsi="LindeDaxOffice Medium"/>
        </w:rPr>
      </w:pPr>
    </w:p>
    <w:p w14:paraId="4116D503" w14:textId="77777777" w:rsidR="00226F1C" w:rsidRPr="00A1617F" w:rsidRDefault="00226F1C" w:rsidP="00735C58">
      <w:pPr>
        <w:rPr>
          <w:rFonts w:ascii="LindeDaxOffice Medium" w:hAnsi="LindeDaxOffice Medium"/>
        </w:rPr>
      </w:pPr>
    </w:p>
    <w:p w14:paraId="4698965F" w14:textId="77777777" w:rsidR="00226F1C" w:rsidRPr="00A1617F" w:rsidRDefault="00226F1C" w:rsidP="00735C58">
      <w:pPr>
        <w:rPr>
          <w:rFonts w:ascii="LindeDaxOffice Medium" w:hAnsi="LindeDaxOffice Medium"/>
        </w:rPr>
      </w:pPr>
    </w:p>
    <w:p w14:paraId="756E0D22" w14:textId="77777777" w:rsidR="00226F1C" w:rsidRPr="00A1617F" w:rsidRDefault="00226F1C" w:rsidP="00735C58">
      <w:pPr>
        <w:rPr>
          <w:rFonts w:ascii="LindeDaxOffice Medium" w:hAnsi="LindeDaxOffice Medium"/>
        </w:rPr>
      </w:pPr>
    </w:p>
    <w:p w14:paraId="47909789" w14:textId="77777777" w:rsidR="00226F1C" w:rsidRPr="00A1617F" w:rsidRDefault="00226F1C" w:rsidP="00735C58">
      <w:pPr>
        <w:rPr>
          <w:rFonts w:ascii="LindeDaxOffice Medium" w:hAnsi="LindeDaxOffice Medium"/>
        </w:rPr>
      </w:pPr>
    </w:p>
    <w:p w14:paraId="03A91E7A" w14:textId="77777777" w:rsidR="00226F1C" w:rsidRPr="00A1617F" w:rsidRDefault="00226F1C" w:rsidP="00735C58">
      <w:pPr>
        <w:rPr>
          <w:rFonts w:ascii="LindeDaxOffice Medium" w:hAnsi="LindeDaxOffice Medium"/>
        </w:rPr>
      </w:pPr>
    </w:p>
    <w:p w14:paraId="2C29FA72" w14:textId="77777777" w:rsidR="00226F1C" w:rsidRPr="00A1617F" w:rsidRDefault="00226F1C" w:rsidP="00735C58">
      <w:pPr>
        <w:rPr>
          <w:rFonts w:ascii="LindeDaxOffice Medium" w:hAnsi="LindeDaxOffice Medium"/>
        </w:rPr>
      </w:pPr>
    </w:p>
    <w:p w14:paraId="15625E86" w14:textId="77777777" w:rsidR="00226F1C" w:rsidRPr="00A1617F" w:rsidRDefault="00226F1C" w:rsidP="00735C58">
      <w:pPr>
        <w:rPr>
          <w:rFonts w:ascii="LindeDaxOffice Medium" w:hAnsi="LindeDaxOffice Medium"/>
        </w:rPr>
      </w:pPr>
    </w:p>
    <w:p w14:paraId="60139D47" w14:textId="77777777" w:rsidR="00226F1C" w:rsidRPr="00A1617F" w:rsidRDefault="00226F1C" w:rsidP="00735C58">
      <w:pPr>
        <w:rPr>
          <w:rFonts w:ascii="LindeDaxOffice Medium" w:hAnsi="LindeDaxOffice Medium"/>
        </w:rPr>
      </w:pPr>
    </w:p>
    <w:p w14:paraId="7FDDA03D" w14:textId="77777777" w:rsidR="00226F1C" w:rsidRPr="00A1617F" w:rsidRDefault="00226F1C" w:rsidP="00735C58">
      <w:pPr>
        <w:rPr>
          <w:rFonts w:ascii="LindeDaxOffice Medium" w:hAnsi="LindeDaxOffice Medium"/>
        </w:rPr>
      </w:pPr>
    </w:p>
    <w:p w14:paraId="20BFE89A" w14:textId="77777777" w:rsidR="00226F1C" w:rsidRPr="00A1617F" w:rsidRDefault="00226F1C" w:rsidP="00735C58">
      <w:pPr>
        <w:rPr>
          <w:rFonts w:ascii="LindeDaxOffice Medium" w:hAnsi="LindeDaxOffice Medium"/>
        </w:rPr>
      </w:pPr>
    </w:p>
    <w:p w14:paraId="4613D774" w14:textId="77777777" w:rsidR="00226F1C" w:rsidRPr="00A1617F" w:rsidRDefault="00226F1C" w:rsidP="00735C58">
      <w:pPr>
        <w:rPr>
          <w:rFonts w:ascii="LindeDaxOffice Medium" w:hAnsi="LindeDaxOffice Medium"/>
        </w:rPr>
      </w:pPr>
    </w:p>
    <w:p w14:paraId="084F9510" w14:textId="77777777" w:rsidR="00226F1C" w:rsidRPr="00A1617F" w:rsidRDefault="00226F1C" w:rsidP="00735C58">
      <w:pPr>
        <w:rPr>
          <w:rFonts w:ascii="LindeDaxOffice Medium" w:hAnsi="LindeDaxOffice Medium"/>
        </w:rPr>
      </w:pPr>
    </w:p>
    <w:p w14:paraId="210EC2CF" w14:textId="77777777" w:rsidR="00226F1C" w:rsidRPr="00A1617F" w:rsidRDefault="00226F1C" w:rsidP="00735C58">
      <w:pPr>
        <w:rPr>
          <w:rFonts w:ascii="LindeDaxOffice Medium" w:hAnsi="LindeDaxOffice Medium"/>
        </w:rPr>
      </w:pPr>
    </w:p>
    <w:p w14:paraId="594117F1" w14:textId="77777777" w:rsidR="009B4908" w:rsidRPr="00A1617F" w:rsidRDefault="009B4908" w:rsidP="009B4908">
      <w:pPr>
        <w:autoSpaceDE w:val="0"/>
        <w:autoSpaceDN w:val="0"/>
        <w:adjustRightInd w:val="0"/>
        <w:jc w:val="both"/>
        <w:rPr>
          <w:rFonts w:ascii="LindeDaxOffice Medium" w:hAnsi="LindeDaxOffice Medium"/>
          <w:b/>
          <w:caps/>
        </w:rPr>
      </w:pPr>
      <w:r w:rsidRPr="00A1617F">
        <w:rPr>
          <w:rFonts w:ascii="LindeDaxOffice Medium" w:hAnsi="LindeDaxOffice Medium"/>
          <w:b/>
          <w:caps/>
        </w:rPr>
        <w:lastRenderedPageBreak/>
        <w:t>Esta página não deve ser impressa, é apenas para controle do histórico de versões.</w:t>
      </w:r>
    </w:p>
    <w:p w14:paraId="314061AD" w14:textId="77777777" w:rsidR="009B4908" w:rsidRPr="00A1617F" w:rsidRDefault="009B4908" w:rsidP="009B4908">
      <w:pPr>
        <w:tabs>
          <w:tab w:val="left" w:pos="4287"/>
        </w:tabs>
        <w:autoSpaceDE w:val="0"/>
        <w:autoSpaceDN w:val="0"/>
        <w:adjustRightInd w:val="0"/>
        <w:jc w:val="both"/>
        <w:rPr>
          <w:rFonts w:ascii="LindeDaxOffice Medium" w:hAnsi="LindeDaxOffice Medium"/>
          <w:b/>
          <w:caps/>
        </w:rPr>
      </w:pPr>
      <w:r w:rsidRPr="00A1617F">
        <w:rPr>
          <w:rFonts w:ascii="LindeDaxOffice Medium" w:hAnsi="LindeDaxOffice Medium"/>
          <w:b/>
          <w:caps/>
        </w:rPr>
        <w:tab/>
      </w:r>
    </w:p>
    <w:p w14:paraId="0DEFFD9F" w14:textId="77777777" w:rsidR="009B4908" w:rsidRPr="00A1617F" w:rsidRDefault="009B4908" w:rsidP="009B4908">
      <w:pPr>
        <w:autoSpaceDE w:val="0"/>
        <w:autoSpaceDN w:val="0"/>
        <w:adjustRightInd w:val="0"/>
        <w:jc w:val="both"/>
        <w:rPr>
          <w:rFonts w:ascii="LindeDaxOffice Medium" w:hAnsi="LindeDaxOffice Medium"/>
          <w:b/>
          <w:caps/>
        </w:rPr>
      </w:pPr>
      <w:r w:rsidRPr="00A1617F">
        <w:rPr>
          <w:rFonts w:ascii="LindeDaxOffice Medium" w:hAnsi="LindeDaxOffice Medium"/>
          <w:b/>
          <w:caps/>
        </w:rPr>
        <w:t>Histórico de Versões</w:t>
      </w:r>
    </w:p>
    <w:p w14:paraId="4AE17316" w14:textId="77777777" w:rsidR="009B4908" w:rsidRPr="00A1617F" w:rsidRDefault="009B4908" w:rsidP="009B4908">
      <w:pPr>
        <w:autoSpaceDE w:val="0"/>
        <w:autoSpaceDN w:val="0"/>
        <w:adjustRightInd w:val="0"/>
        <w:jc w:val="both"/>
        <w:rPr>
          <w:rFonts w:ascii="LindeDaxOffice Medium" w:hAnsi="LindeDaxOffice Medium"/>
        </w:rPr>
      </w:pPr>
    </w:p>
    <w:tbl>
      <w:tblPr>
        <w:tblW w:w="977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5"/>
        <w:gridCol w:w="1353"/>
        <w:gridCol w:w="6391"/>
      </w:tblGrid>
      <w:tr w:rsidR="00A1617F" w:rsidRPr="00A1617F" w14:paraId="50897385" w14:textId="77777777" w:rsidTr="009A5CC5">
        <w:trPr>
          <w:trHeight w:val="256"/>
        </w:trPr>
        <w:tc>
          <w:tcPr>
            <w:tcW w:w="2035" w:type="dxa"/>
            <w:shd w:val="clear" w:color="auto" w:fill="auto"/>
            <w:noWrap/>
            <w:vAlign w:val="bottom"/>
            <w:hideMark/>
          </w:tcPr>
          <w:p w14:paraId="4608E0EB" w14:textId="77777777" w:rsidR="009B4908" w:rsidRPr="00A1617F" w:rsidRDefault="009B4908" w:rsidP="009A5CC5">
            <w:pPr>
              <w:jc w:val="center"/>
              <w:rPr>
                <w:rFonts w:ascii="LindeDaxOffice Medium" w:hAnsi="LindeDaxOffice Medium"/>
                <w:b/>
                <w:bCs/>
              </w:rPr>
            </w:pPr>
            <w:r w:rsidRPr="00A1617F">
              <w:rPr>
                <w:rFonts w:ascii="LindeDaxOffice Medium" w:hAnsi="LindeDaxOffice Medium"/>
                <w:b/>
                <w:bCs/>
              </w:rPr>
              <w:t xml:space="preserve">Revisão </w:t>
            </w:r>
          </w:p>
        </w:tc>
        <w:tc>
          <w:tcPr>
            <w:tcW w:w="1353" w:type="dxa"/>
            <w:shd w:val="clear" w:color="auto" w:fill="auto"/>
            <w:noWrap/>
            <w:vAlign w:val="bottom"/>
            <w:hideMark/>
          </w:tcPr>
          <w:p w14:paraId="5DA96D9D" w14:textId="77777777" w:rsidR="009B4908" w:rsidRPr="00A1617F" w:rsidRDefault="009B4908" w:rsidP="009A5CC5">
            <w:pPr>
              <w:jc w:val="center"/>
              <w:rPr>
                <w:rFonts w:ascii="LindeDaxOffice Medium" w:hAnsi="LindeDaxOffice Medium"/>
                <w:b/>
                <w:bCs/>
              </w:rPr>
            </w:pPr>
            <w:r w:rsidRPr="00A1617F">
              <w:rPr>
                <w:rFonts w:ascii="LindeDaxOffice Medium" w:hAnsi="LindeDaxOffice Medium"/>
                <w:b/>
                <w:bCs/>
              </w:rPr>
              <w:t>Data</w:t>
            </w:r>
          </w:p>
        </w:tc>
        <w:tc>
          <w:tcPr>
            <w:tcW w:w="6391" w:type="dxa"/>
            <w:shd w:val="clear" w:color="auto" w:fill="auto"/>
            <w:noWrap/>
            <w:vAlign w:val="bottom"/>
            <w:hideMark/>
          </w:tcPr>
          <w:p w14:paraId="47DEFC7F" w14:textId="77777777" w:rsidR="009B4908" w:rsidRPr="00A1617F" w:rsidRDefault="009B4908" w:rsidP="009A5CC5">
            <w:pPr>
              <w:jc w:val="center"/>
              <w:rPr>
                <w:rFonts w:ascii="LindeDaxOffice Medium" w:hAnsi="LindeDaxOffice Medium"/>
                <w:b/>
                <w:bCs/>
              </w:rPr>
            </w:pPr>
            <w:r w:rsidRPr="00A1617F">
              <w:rPr>
                <w:rFonts w:ascii="LindeDaxOffice Medium" w:hAnsi="LindeDaxOffice Medium"/>
                <w:b/>
                <w:bCs/>
              </w:rPr>
              <w:t>Descrição das Alterações</w:t>
            </w:r>
          </w:p>
        </w:tc>
      </w:tr>
      <w:tr w:rsidR="00A1617F" w:rsidRPr="00A1617F" w14:paraId="4284EF1B" w14:textId="77777777" w:rsidTr="009A5CC5">
        <w:trPr>
          <w:trHeight w:val="758"/>
        </w:trPr>
        <w:tc>
          <w:tcPr>
            <w:tcW w:w="2035" w:type="dxa"/>
            <w:shd w:val="clear" w:color="auto" w:fill="auto"/>
            <w:noWrap/>
            <w:vAlign w:val="center"/>
          </w:tcPr>
          <w:p w14:paraId="442197EC" w14:textId="77777777" w:rsidR="009B4908" w:rsidRPr="00A1617F" w:rsidRDefault="009B4908" w:rsidP="009A5CC5">
            <w:pPr>
              <w:jc w:val="center"/>
              <w:rPr>
                <w:rFonts w:ascii="LindeDaxOffice Medium" w:hAnsi="LindeDaxOffice Medium"/>
              </w:rPr>
            </w:pPr>
            <w:r w:rsidRPr="00A1617F">
              <w:rPr>
                <w:rFonts w:ascii="LindeDaxOffice Medium" w:hAnsi="LindeDaxOffice Medium"/>
              </w:rPr>
              <w:t>02</w:t>
            </w:r>
          </w:p>
        </w:tc>
        <w:tc>
          <w:tcPr>
            <w:tcW w:w="1353" w:type="dxa"/>
            <w:shd w:val="clear" w:color="auto" w:fill="auto"/>
            <w:noWrap/>
            <w:vAlign w:val="center"/>
          </w:tcPr>
          <w:p w14:paraId="57CE1412" w14:textId="77777777" w:rsidR="009B4908" w:rsidRPr="00A1617F" w:rsidRDefault="009B4908" w:rsidP="009A5CC5">
            <w:pPr>
              <w:jc w:val="center"/>
              <w:rPr>
                <w:rFonts w:ascii="LindeDaxOffice Medium" w:hAnsi="LindeDaxOffice Medium"/>
              </w:rPr>
            </w:pPr>
            <w:r w:rsidRPr="00A1617F">
              <w:rPr>
                <w:rFonts w:ascii="LindeDaxOffice Medium" w:hAnsi="LindeDaxOffice Medium"/>
              </w:rPr>
              <w:t>12/06/2026</w:t>
            </w:r>
          </w:p>
        </w:tc>
        <w:tc>
          <w:tcPr>
            <w:tcW w:w="6391" w:type="dxa"/>
            <w:shd w:val="clear" w:color="auto" w:fill="auto"/>
            <w:noWrap/>
            <w:vAlign w:val="center"/>
          </w:tcPr>
          <w:p w14:paraId="17E4E07E" w14:textId="1C107A39" w:rsidR="009B4908" w:rsidRPr="00A1617F" w:rsidRDefault="00E94986" w:rsidP="009A5CC5">
            <w:pPr>
              <w:spacing w:after="0"/>
              <w:jc w:val="both"/>
              <w:rPr>
                <w:rFonts w:ascii="LindeDaxOffice Medium" w:hAnsi="LindeDaxOffice Medium"/>
              </w:rPr>
            </w:pPr>
            <w:r>
              <w:rPr>
                <w:rFonts w:ascii="LindeDaxOffice Medium" w:hAnsi="LindeDaxOffice Medium"/>
                <w:color w:val="000000"/>
                <w:szCs w:val="20"/>
              </w:rPr>
              <w:t xml:space="preserve">Inclusão do documento no PGI. Inclusão do item Perigo. Atualização das capacidades dos cilindros, dos dados das empresas notificadoras e do prazo de validade conforme estudo de estabilidade. Reorganização na ordem dos itens conforme ordem do Anexo I da RDC 870/2024. Não houve alteração do conteúdo das demais informações que continuam conforme </w:t>
            </w:r>
            <w:r w:rsidR="009B4908" w:rsidRPr="00A1617F">
              <w:rPr>
                <w:rFonts w:ascii="LindeDaxOffice Medium" w:hAnsi="LindeDaxOffice Medium"/>
              </w:rPr>
              <w:t>CD-28767 Rev 13 – 12/10/2022.</w:t>
            </w:r>
          </w:p>
        </w:tc>
      </w:tr>
      <w:tr w:rsidR="00A1617F" w:rsidRPr="00A1617F" w14:paraId="5905CF13" w14:textId="77777777" w:rsidTr="009A5CC5">
        <w:trPr>
          <w:trHeight w:val="819"/>
        </w:trPr>
        <w:tc>
          <w:tcPr>
            <w:tcW w:w="2035" w:type="dxa"/>
            <w:shd w:val="clear" w:color="auto" w:fill="auto"/>
            <w:noWrap/>
            <w:vAlign w:val="center"/>
          </w:tcPr>
          <w:p w14:paraId="00D5B488" w14:textId="77777777" w:rsidR="009B4908" w:rsidRPr="00A1617F" w:rsidRDefault="009B4908" w:rsidP="009A5CC5">
            <w:pPr>
              <w:jc w:val="center"/>
              <w:rPr>
                <w:rFonts w:ascii="LindeDaxOffice Medium" w:hAnsi="LindeDaxOffice Medium"/>
              </w:rPr>
            </w:pPr>
            <w:r w:rsidRPr="00A1617F">
              <w:rPr>
                <w:rFonts w:ascii="LindeDaxOffice Medium" w:hAnsi="LindeDaxOffice Medium"/>
              </w:rPr>
              <w:t>01</w:t>
            </w:r>
          </w:p>
        </w:tc>
        <w:tc>
          <w:tcPr>
            <w:tcW w:w="1353" w:type="dxa"/>
            <w:shd w:val="clear" w:color="auto" w:fill="auto"/>
            <w:noWrap/>
            <w:vAlign w:val="center"/>
          </w:tcPr>
          <w:p w14:paraId="217B7117" w14:textId="3850150B" w:rsidR="009B4908" w:rsidRPr="00A1617F" w:rsidRDefault="009B4908" w:rsidP="009A5CC5">
            <w:pPr>
              <w:jc w:val="center"/>
              <w:rPr>
                <w:rFonts w:ascii="LindeDaxOffice Medium" w:hAnsi="LindeDaxOffice Medium"/>
              </w:rPr>
            </w:pPr>
            <w:r w:rsidRPr="00A1617F">
              <w:rPr>
                <w:rFonts w:ascii="LindeDaxOffice Medium" w:hAnsi="LindeDaxOffice Medium"/>
              </w:rPr>
              <w:t>09/02/2026</w:t>
            </w:r>
          </w:p>
        </w:tc>
        <w:tc>
          <w:tcPr>
            <w:tcW w:w="6391" w:type="dxa"/>
            <w:shd w:val="clear" w:color="auto" w:fill="auto"/>
            <w:noWrap/>
            <w:vAlign w:val="center"/>
          </w:tcPr>
          <w:p w14:paraId="17AE553A" w14:textId="77777777" w:rsidR="009B4908" w:rsidRPr="00A1617F" w:rsidRDefault="009B4908" w:rsidP="009A5CC5">
            <w:pPr>
              <w:spacing w:after="0"/>
              <w:jc w:val="both"/>
              <w:rPr>
                <w:rFonts w:ascii="LindeDaxOffice Medium" w:hAnsi="LindeDaxOffice Medium"/>
              </w:rPr>
            </w:pPr>
            <w:r w:rsidRPr="00A1617F">
              <w:rPr>
                <w:rFonts w:ascii="LindeDaxOffice Medium" w:hAnsi="LindeDaxOffice Medium"/>
              </w:rPr>
              <w:t>Incluído histórico de versões.</w:t>
            </w:r>
          </w:p>
          <w:p w14:paraId="16085732" w14:textId="1F2DCDFF" w:rsidR="009B4908" w:rsidRPr="00A1617F" w:rsidRDefault="009B4908" w:rsidP="009A5CC5">
            <w:pPr>
              <w:jc w:val="both"/>
              <w:rPr>
                <w:rFonts w:ascii="LindeDaxOffice Medium" w:hAnsi="LindeDaxOffice Medium"/>
              </w:rPr>
            </w:pPr>
            <w:r w:rsidRPr="00A1617F">
              <w:rPr>
                <w:rFonts w:ascii="LindeDaxOffice Medium" w:hAnsi="LindeDaxOffice Medium"/>
              </w:rPr>
              <w:t>Harmonização ao CD-28767 Rev 13 – 12/10/2022, à RDC 870/2024 e à IN 301/2024.</w:t>
            </w:r>
          </w:p>
        </w:tc>
      </w:tr>
    </w:tbl>
    <w:p w14:paraId="39698C5E" w14:textId="77777777" w:rsidR="00226F1C" w:rsidRPr="00A1617F" w:rsidRDefault="00226F1C" w:rsidP="00735C58">
      <w:pPr>
        <w:rPr>
          <w:rFonts w:ascii="LindeDaxOffice Medium" w:hAnsi="LindeDaxOffice Medium"/>
        </w:rPr>
      </w:pPr>
    </w:p>
    <w:sectPr w:rsidR="00226F1C" w:rsidRPr="00A1617F" w:rsidSect="00E2543A">
      <w:headerReference w:type="default" r:id="rId11"/>
      <w:footerReference w:type="default" r:id="rId12"/>
      <w:pgSz w:w="11906" w:h="16838"/>
      <w:pgMar w:top="709"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E130" w14:textId="77777777" w:rsidR="001D72CD" w:rsidRDefault="001D72CD" w:rsidP="00D0416F">
      <w:pPr>
        <w:spacing w:after="0" w:line="240" w:lineRule="auto"/>
      </w:pPr>
      <w:r>
        <w:separator/>
      </w:r>
    </w:p>
  </w:endnote>
  <w:endnote w:type="continuationSeparator" w:id="0">
    <w:p w14:paraId="486D43BF" w14:textId="77777777" w:rsidR="001D72CD" w:rsidRDefault="001D72CD" w:rsidP="00D0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deDaxOffice Medium">
    <w:panose1 w:val="020B0600000000020000"/>
    <w:charset w:val="00"/>
    <w:family w:val="swiss"/>
    <w:pitch w:val="variable"/>
    <w:sig w:usb0="800000AF" w:usb1="50002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F343" w14:textId="0F04DD70" w:rsidR="009F095F" w:rsidRPr="00564AA5" w:rsidRDefault="009F095F" w:rsidP="009F095F">
    <w:pPr>
      <w:pStyle w:val="Footer"/>
      <w:rPr>
        <w:rFonts w:ascii="LindeDaxOffice Medium" w:hAnsi="LindeDaxOffice Medium"/>
        <w:sz w:val="18"/>
        <w:szCs w:val="18"/>
      </w:rPr>
    </w:pPr>
    <w:r w:rsidRPr="00564AA5">
      <w:rPr>
        <w:rFonts w:ascii="LindeDaxOffice Medium" w:hAnsi="LindeDaxOffice Medium"/>
        <w:sz w:val="18"/>
        <w:szCs w:val="18"/>
      </w:rPr>
      <w:t>wmpa03601 Form 12</w:t>
    </w:r>
    <w:r>
      <w:rPr>
        <w:rFonts w:ascii="LindeDaxOffice Medium" w:hAnsi="LindeDaxOffice Medium"/>
        <w:sz w:val="18"/>
        <w:szCs w:val="18"/>
      </w:rPr>
      <w:t>5</w:t>
    </w:r>
    <w:r>
      <w:rPr>
        <w:rFonts w:ascii="LindeDaxOffice Medium" w:hAnsi="LindeDaxOffice Medium"/>
        <w:sz w:val="18"/>
        <w:szCs w:val="18"/>
      </w:rPr>
      <w:tab/>
    </w:r>
    <w:r>
      <w:rPr>
        <w:rFonts w:ascii="LindeDaxOffice Medium" w:hAnsi="LindeDaxOffice Medium"/>
        <w:sz w:val="18"/>
        <w:szCs w:val="18"/>
      </w:rPr>
      <w:tab/>
    </w:r>
    <w:r>
      <w:rPr>
        <w:rFonts w:ascii="LindeDaxOffice Medium" w:hAnsi="LindeDaxOffice Medium"/>
        <w:sz w:val="18"/>
        <w:szCs w:val="18"/>
      </w:rPr>
      <w:tab/>
      <w:t xml:space="preserve">Pág. </w:t>
    </w:r>
    <w:r w:rsidRPr="000D516F">
      <w:rPr>
        <w:rFonts w:ascii="LindeDaxOffice Medium" w:hAnsi="LindeDaxOffice Medium"/>
        <w:sz w:val="18"/>
        <w:szCs w:val="18"/>
      </w:rPr>
      <w:fldChar w:fldCharType="begin"/>
    </w:r>
    <w:r w:rsidRPr="000D516F">
      <w:rPr>
        <w:rFonts w:ascii="LindeDaxOffice Medium" w:hAnsi="LindeDaxOffice Medium"/>
        <w:sz w:val="18"/>
        <w:szCs w:val="18"/>
      </w:rPr>
      <w:instrText xml:space="preserve"> PAGE   \* MERGEFORMAT </w:instrText>
    </w:r>
    <w:r w:rsidRPr="000D516F">
      <w:rPr>
        <w:rFonts w:ascii="LindeDaxOffice Medium" w:hAnsi="LindeDaxOffice Medium"/>
        <w:sz w:val="18"/>
        <w:szCs w:val="18"/>
      </w:rPr>
      <w:fldChar w:fldCharType="separate"/>
    </w:r>
    <w:r>
      <w:rPr>
        <w:rFonts w:ascii="LindeDaxOffice Medium" w:hAnsi="LindeDaxOffice Medium"/>
        <w:sz w:val="18"/>
        <w:szCs w:val="18"/>
      </w:rPr>
      <w:t>3</w:t>
    </w:r>
    <w:r w:rsidRPr="000D516F">
      <w:rPr>
        <w:rFonts w:ascii="LindeDaxOffice Medium" w:hAnsi="LindeDaxOffice Medium"/>
        <w:noProof/>
        <w:sz w:val="18"/>
        <w:szCs w:val="18"/>
      </w:rPr>
      <w:fldChar w:fldCharType="end"/>
    </w:r>
    <w:r>
      <w:rPr>
        <w:rFonts w:ascii="LindeDaxOffice Medium" w:hAnsi="LindeDaxOffice Medium"/>
        <w:noProof/>
        <w:sz w:val="18"/>
        <w:szCs w:val="18"/>
      </w:rPr>
      <w:t>/3</w:t>
    </w:r>
  </w:p>
  <w:p w14:paraId="18F3F23F" w14:textId="715A7423" w:rsidR="009F095F" w:rsidRPr="009F095F" w:rsidRDefault="00AA555D">
    <w:pPr>
      <w:pStyle w:val="Footer"/>
      <w:rPr>
        <w:rFonts w:ascii="LindeDaxOffice Medium" w:hAnsi="LindeDaxOffice Medium"/>
        <w:sz w:val="18"/>
        <w:szCs w:val="18"/>
      </w:rPr>
    </w:pPr>
    <w:r w:rsidRPr="00564AA5">
      <w:rPr>
        <w:rFonts w:ascii="LindeDaxOffice Medium" w:hAnsi="LindeDaxOffice Medium"/>
        <w:sz w:val="18"/>
        <w:szCs w:val="18"/>
      </w:rPr>
      <w:t xml:space="preserve">Ficha Técnica </w:t>
    </w:r>
    <w:r>
      <w:rPr>
        <w:rFonts w:ascii="LindeDaxOffice Medium" w:hAnsi="LindeDaxOffice Medium"/>
        <w:sz w:val="18"/>
        <w:szCs w:val="18"/>
      </w:rPr>
      <w:t>–</w:t>
    </w:r>
    <w:r w:rsidRPr="00564AA5">
      <w:rPr>
        <w:rFonts w:ascii="LindeDaxOffice Medium" w:hAnsi="LindeDaxOffice Medium"/>
        <w:sz w:val="18"/>
        <w:szCs w:val="18"/>
      </w:rPr>
      <w:t xml:space="preserve"> </w:t>
    </w:r>
    <w:r>
      <w:rPr>
        <w:rFonts w:ascii="LindeDaxOffice Medium" w:hAnsi="LindeDaxOffice Medium"/>
        <w:sz w:val="18"/>
        <w:szCs w:val="18"/>
      </w:rPr>
      <w:t>Texto do Rótulo – Folheto Informativo</w:t>
    </w:r>
    <w:r w:rsidRPr="00564AA5">
      <w:rPr>
        <w:rFonts w:ascii="LindeDaxOffice Medium" w:hAnsi="LindeDaxOffice Medium"/>
        <w:sz w:val="18"/>
        <w:szCs w:val="18"/>
      </w:rPr>
      <w:t xml:space="preserve"> </w:t>
    </w:r>
    <w:r>
      <w:rPr>
        <w:rFonts w:ascii="LindeDaxOffice Medium" w:hAnsi="LindeDaxOffice Medium"/>
        <w:sz w:val="18"/>
        <w:szCs w:val="18"/>
      </w:rPr>
      <w:t>–</w:t>
    </w:r>
    <w:r w:rsidRPr="00564AA5">
      <w:rPr>
        <w:rFonts w:ascii="LindeDaxOffice Medium" w:hAnsi="LindeDaxOffice Medium"/>
        <w:sz w:val="18"/>
        <w:szCs w:val="18"/>
      </w:rPr>
      <w:t xml:space="preserve"> </w:t>
    </w:r>
    <w:r w:rsidR="00190E61" w:rsidRPr="00190E61">
      <w:rPr>
        <w:rFonts w:ascii="LindeDaxOffice Medium" w:hAnsi="LindeDaxOffice Medium"/>
        <w:sz w:val="18"/>
        <w:szCs w:val="18"/>
      </w:rPr>
      <w:t xml:space="preserve">Oxigênio </w:t>
    </w:r>
    <w:r w:rsidR="00FA54A5">
      <w:rPr>
        <w:rFonts w:ascii="LindeDaxOffice Medium" w:hAnsi="LindeDaxOffice Medium"/>
        <w:sz w:val="18"/>
        <w:szCs w:val="18"/>
      </w:rPr>
      <w:t>+</w:t>
    </w:r>
    <w:r w:rsidR="00190E61" w:rsidRPr="00190E61">
      <w:rPr>
        <w:rFonts w:ascii="LindeDaxOffice Medium" w:hAnsi="LindeDaxOffice Medium"/>
        <w:sz w:val="18"/>
        <w:szCs w:val="18"/>
      </w:rPr>
      <w:t xml:space="preserve"> Óxido Nitroso Medicinal</w:t>
    </w:r>
    <w:r w:rsidR="00FA54A5">
      <w:rPr>
        <w:rFonts w:ascii="LindeDaxOffice Medium" w:hAnsi="LindeDaxOffice Medium"/>
        <w:sz w:val="18"/>
        <w:szCs w:val="18"/>
      </w:rPr>
      <w:t xml:space="preserve"> - E</w:t>
    </w:r>
    <w:r w:rsidR="006D2F1F">
      <w:rPr>
        <w:rFonts w:ascii="LindeDaxOffice Medium" w:hAnsi="LindeDaxOffice Medium"/>
        <w:sz w:val="18"/>
        <w:szCs w:val="18"/>
      </w:rPr>
      <w:t>n</w:t>
    </w:r>
    <w:r w:rsidR="00FA54A5">
      <w:rPr>
        <w:rFonts w:ascii="LindeDaxOffice Medium" w:hAnsi="LindeDaxOffice Medium"/>
        <w:sz w:val="18"/>
        <w:szCs w:val="18"/>
      </w:rPr>
      <w:t>tonox</w:t>
    </w:r>
    <w:r w:rsidR="009F095F" w:rsidRPr="00564AA5">
      <w:rPr>
        <w:rFonts w:ascii="LindeDaxOffice Medium" w:hAnsi="LindeDaxOffice Medium"/>
        <w:sz w:val="18"/>
        <w:szCs w:val="18"/>
      </w:rPr>
      <w:t xml:space="preserve"> - Rev 0</w:t>
    </w:r>
    <w:r w:rsidR="009F095F">
      <w:rPr>
        <w:rFonts w:ascii="LindeDaxOffice Medium" w:hAnsi="LindeDaxOffice Medium"/>
        <w:sz w:val="18"/>
        <w:szCs w:val="18"/>
      </w:rPr>
      <w:t>2</w:t>
    </w:r>
    <w:r w:rsidR="009F095F" w:rsidRPr="00564AA5">
      <w:rPr>
        <w:rFonts w:ascii="LindeDaxOffice Medium" w:hAnsi="LindeDaxOffice Medium"/>
        <w:sz w:val="18"/>
        <w:szCs w:val="18"/>
      </w:rPr>
      <w:t xml:space="preserve"> - 0</w:t>
    </w:r>
    <w:r w:rsidR="009F095F">
      <w:rPr>
        <w:rFonts w:ascii="LindeDaxOffice Medium" w:hAnsi="LindeDaxOffice Medium"/>
        <w:sz w:val="18"/>
        <w:szCs w:val="18"/>
      </w:rPr>
      <w:t>6</w:t>
    </w:r>
    <w:r w:rsidR="009F095F" w:rsidRPr="00564AA5">
      <w:rPr>
        <w:rFonts w:ascii="LindeDaxOffice Medium" w:hAnsi="LindeDaxOffice Medium"/>
        <w:sz w:val="18"/>
        <w:szCs w:val="18"/>
      </w:rPr>
      <w:t>/202</w:t>
    </w:r>
    <w:r w:rsidR="009F095F">
      <w:rPr>
        <w:rFonts w:ascii="LindeDaxOffice Medium" w:hAnsi="LindeDaxOffice Medium"/>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4094" w14:textId="77777777" w:rsidR="001D72CD" w:rsidRDefault="001D72CD" w:rsidP="00D0416F">
      <w:pPr>
        <w:spacing w:after="0" w:line="240" w:lineRule="auto"/>
      </w:pPr>
      <w:r>
        <w:separator/>
      </w:r>
    </w:p>
  </w:footnote>
  <w:footnote w:type="continuationSeparator" w:id="0">
    <w:p w14:paraId="165294C5" w14:textId="77777777" w:rsidR="001D72CD" w:rsidRDefault="001D72CD" w:rsidP="00D0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4F03" w14:textId="089A59C1" w:rsidR="00D0416F" w:rsidRDefault="00D0416F">
    <w:pPr>
      <w:pStyle w:val="Header"/>
    </w:pPr>
    <w:r w:rsidRPr="00581C1F">
      <w:rPr>
        <w:noProof/>
      </w:rPr>
      <w:drawing>
        <wp:anchor distT="0" distB="0" distL="114300" distR="114300" simplePos="0" relativeHeight="251658240" behindDoc="0" locked="0" layoutInCell="1" allowOverlap="1" wp14:anchorId="2471E71B" wp14:editId="258EA04F">
          <wp:simplePos x="0" y="0"/>
          <wp:positionH relativeFrom="column">
            <wp:posOffset>4926124</wp:posOffset>
          </wp:positionH>
          <wp:positionV relativeFrom="paragraph">
            <wp:posOffset>-200660</wp:posOffset>
          </wp:positionV>
          <wp:extent cx="1618615" cy="280670"/>
          <wp:effectExtent l="0" t="0" r="635" b="5080"/>
          <wp:wrapTopAndBottom/>
          <wp:docPr id="1287929430" name="Picture 1287929430"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47195" name="Picture 882347195" descr="A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2806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MAxDzfxFRmjiM9ScxQaMOhMuppS4XRUYSO3YcQzFWBFYBfCB9u71yizUjSplbZbNo+OIRLP26Cljx51eQOb8yg==" w:salt="qr8jcuIFXqUpetJ1uh1b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D5"/>
    <w:rsid w:val="000161B0"/>
    <w:rsid w:val="00016FD1"/>
    <w:rsid w:val="00023B08"/>
    <w:rsid w:val="00026219"/>
    <w:rsid w:val="00037148"/>
    <w:rsid w:val="00066A83"/>
    <w:rsid w:val="000728E4"/>
    <w:rsid w:val="00075D75"/>
    <w:rsid w:val="000A4510"/>
    <w:rsid w:val="000A5FD0"/>
    <w:rsid w:val="000C37E2"/>
    <w:rsid w:val="000E41A3"/>
    <w:rsid w:val="00113D44"/>
    <w:rsid w:val="00133706"/>
    <w:rsid w:val="001351A8"/>
    <w:rsid w:val="00136E6C"/>
    <w:rsid w:val="00143DD0"/>
    <w:rsid w:val="00162464"/>
    <w:rsid w:val="00164B03"/>
    <w:rsid w:val="0017171F"/>
    <w:rsid w:val="00190E61"/>
    <w:rsid w:val="0019440E"/>
    <w:rsid w:val="001A17E1"/>
    <w:rsid w:val="001A5C11"/>
    <w:rsid w:val="001A6EAF"/>
    <w:rsid w:val="001B0996"/>
    <w:rsid w:val="001C4ECE"/>
    <w:rsid w:val="001C698A"/>
    <w:rsid w:val="001D3A83"/>
    <w:rsid w:val="001D5C0A"/>
    <w:rsid w:val="001D72CD"/>
    <w:rsid w:val="00207D4B"/>
    <w:rsid w:val="00226F1C"/>
    <w:rsid w:val="00227BEF"/>
    <w:rsid w:val="0023254F"/>
    <w:rsid w:val="0026328F"/>
    <w:rsid w:val="0027524C"/>
    <w:rsid w:val="0028020D"/>
    <w:rsid w:val="0028041E"/>
    <w:rsid w:val="00280591"/>
    <w:rsid w:val="00283723"/>
    <w:rsid w:val="002863A2"/>
    <w:rsid w:val="002B5B4F"/>
    <w:rsid w:val="002D0369"/>
    <w:rsid w:val="002D55E5"/>
    <w:rsid w:val="002E1045"/>
    <w:rsid w:val="002F583B"/>
    <w:rsid w:val="00312D33"/>
    <w:rsid w:val="00316BC3"/>
    <w:rsid w:val="00341D8F"/>
    <w:rsid w:val="00354A3B"/>
    <w:rsid w:val="003B6A95"/>
    <w:rsid w:val="003C462F"/>
    <w:rsid w:val="003E536C"/>
    <w:rsid w:val="003F6867"/>
    <w:rsid w:val="00415A8C"/>
    <w:rsid w:val="00420CB1"/>
    <w:rsid w:val="00421959"/>
    <w:rsid w:val="004421D3"/>
    <w:rsid w:val="0044476A"/>
    <w:rsid w:val="00472966"/>
    <w:rsid w:val="00472B7F"/>
    <w:rsid w:val="00477B35"/>
    <w:rsid w:val="00484EE3"/>
    <w:rsid w:val="004947FF"/>
    <w:rsid w:val="004C16DF"/>
    <w:rsid w:val="004C2BEE"/>
    <w:rsid w:val="004C69DF"/>
    <w:rsid w:val="004E6CA9"/>
    <w:rsid w:val="005056F9"/>
    <w:rsid w:val="00523162"/>
    <w:rsid w:val="00523B33"/>
    <w:rsid w:val="00550012"/>
    <w:rsid w:val="00552ED4"/>
    <w:rsid w:val="0055479C"/>
    <w:rsid w:val="00556C77"/>
    <w:rsid w:val="005749FA"/>
    <w:rsid w:val="00590BC5"/>
    <w:rsid w:val="0059761E"/>
    <w:rsid w:val="005A079B"/>
    <w:rsid w:val="005A72E4"/>
    <w:rsid w:val="005A7A71"/>
    <w:rsid w:val="005B7E35"/>
    <w:rsid w:val="005C29DC"/>
    <w:rsid w:val="005C4DE0"/>
    <w:rsid w:val="005D6D0F"/>
    <w:rsid w:val="005F035F"/>
    <w:rsid w:val="00603F7A"/>
    <w:rsid w:val="00610F72"/>
    <w:rsid w:val="00634A0D"/>
    <w:rsid w:val="0063555C"/>
    <w:rsid w:val="00646ACB"/>
    <w:rsid w:val="00651615"/>
    <w:rsid w:val="0066635D"/>
    <w:rsid w:val="006711A5"/>
    <w:rsid w:val="006724C1"/>
    <w:rsid w:val="00672F0C"/>
    <w:rsid w:val="00673B99"/>
    <w:rsid w:val="00681F2E"/>
    <w:rsid w:val="00682590"/>
    <w:rsid w:val="006836EC"/>
    <w:rsid w:val="006A2399"/>
    <w:rsid w:val="006A7512"/>
    <w:rsid w:val="006B2FAA"/>
    <w:rsid w:val="006C1219"/>
    <w:rsid w:val="006D2F1F"/>
    <w:rsid w:val="006D3CF7"/>
    <w:rsid w:val="006E63ED"/>
    <w:rsid w:val="006E6C60"/>
    <w:rsid w:val="0070204A"/>
    <w:rsid w:val="00703E85"/>
    <w:rsid w:val="00706305"/>
    <w:rsid w:val="00735C58"/>
    <w:rsid w:val="0074397B"/>
    <w:rsid w:val="00743B66"/>
    <w:rsid w:val="00747C13"/>
    <w:rsid w:val="007617AE"/>
    <w:rsid w:val="00766DA7"/>
    <w:rsid w:val="00770025"/>
    <w:rsid w:val="00781207"/>
    <w:rsid w:val="007A0F86"/>
    <w:rsid w:val="007B1C6B"/>
    <w:rsid w:val="007C1456"/>
    <w:rsid w:val="007D055C"/>
    <w:rsid w:val="007E795F"/>
    <w:rsid w:val="007F6515"/>
    <w:rsid w:val="00810ABC"/>
    <w:rsid w:val="00825009"/>
    <w:rsid w:val="008273A9"/>
    <w:rsid w:val="008325E8"/>
    <w:rsid w:val="00840FE1"/>
    <w:rsid w:val="00846E08"/>
    <w:rsid w:val="008628A8"/>
    <w:rsid w:val="00867906"/>
    <w:rsid w:val="00871B51"/>
    <w:rsid w:val="00881AA5"/>
    <w:rsid w:val="008875BB"/>
    <w:rsid w:val="008A0052"/>
    <w:rsid w:val="008B3EB7"/>
    <w:rsid w:val="008C6208"/>
    <w:rsid w:val="008D4383"/>
    <w:rsid w:val="008E0E44"/>
    <w:rsid w:val="008E7757"/>
    <w:rsid w:val="008F13DE"/>
    <w:rsid w:val="008F6152"/>
    <w:rsid w:val="0090337D"/>
    <w:rsid w:val="00903D99"/>
    <w:rsid w:val="00912BBE"/>
    <w:rsid w:val="00921C92"/>
    <w:rsid w:val="00923B42"/>
    <w:rsid w:val="009346DA"/>
    <w:rsid w:val="00943810"/>
    <w:rsid w:val="0096673D"/>
    <w:rsid w:val="009826C5"/>
    <w:rsid w:val="009858CA"/>
    <w:rsid w:val="009A0582"/>
    <w:rsid w:val="009A4FE7"/>
    <w:rsid w:val="009B4908"/>
    <w:rsid w:val="009C3060"/>
    <w:rsid w:val="009C41F7"/>
    <w:rsid w:val="009D0F7C"/>
    <w:rsid w:val="009D1EA3"/>
    <w:rsid w:val="009D6EEB"/>
    <w:rsid w:val="009E5A40"/>
    <w:rsid w:val="009E68EE"/>
    <w:rsid w:val="009F095F"/>
    <w:rsid w:val="00A04A81"/>
    <w:rsid w:val="00A142AE"/>
    <w:rsid w:val="00A1617F"/>
    <w:rsid w:val="00A24C11"/>
    <w:rsid w:val="00A521D7"/>
    <w:rsid w:val="00A56FF3"/>
    <w:rsid w:val="00A57FF3"/>
    <w:rsid w:val="00A63B17"/>
    <w:rsid w:val="00A83358"/>
    <w:rsid w:val="00A91BA2"/>
    <w:rsid w:val="00A91F51"/>
    <w:rsid w:val="00AA4DF0"/>
    <w:rsid w:val="00AA555D"/>
    <w:rsid w:val="00AB154D"/>
    <w:rsid w:val="00AB3AF3"/>
    <w:rsid w:val="00AC533B"/>
    <w:rsid w:val="00AC68C4"/>
    <w:rsid w:val="00AE040F"/>
    <w:rsid w:val="00B1761C"/>
    <w:rsid w:val="00B17B8A"/>
    <w:rsid w:val="00B17EBF"/>
    <w:rsid w:val="00B54E81"/>
    <w:rsid w:val="00B553BF"/>
    <w:rsid w:val="00B8657C"/>
    <w:rsid w:val="00BA0300"/>
    <w:rsid w:val="00BC0E2E"/>
    <w:rsid w:val="00BC58E5"/>
    <w:rsid w:val="00BF321B"/>
    <w:rsid w:val="00C1542C"/>
    <w:rsid w:val="00C155D5"/>
    <w:rsid w:val="00C16010"/>
    <w:rsid w:val="00C172F7"/>
    <w:rsid w:val="00C36BDC"/>
    <w:rsid w:val="00C42A9B"/>
    <w:rsid w:val="00C42F54"/>
    <w:rsid w:val="00C52C39"/>
    <w:rsid w:val="00C5574C"/>
    <w:rsid w:val="00C751A8"/>
    <w:rsid w:val="00CA5CB1"/>
    <w:rsid w:val="00CB10CB"/>
    <w:rsid w:val="00CD0BEB"/>
    <w:rsid w:val="00CF591D"/>
    <w:rsid w:val="00D0416F"/>
    <w:rsid w:val="00D079EE"/>
    <w:rsid w:val="00D17EED"/>
    <w:rsid w:val="00D201A2"/>
    <w:rsid w:val="00D36B73"/>
    <w:rsid w:val="00D451F8"/>
    <w:rsid w:val="00D516FB"/>
    <w:rsid w:val="00D73D5F"/>
    <w:rsid w:val="00D87C92"/>
    <w:rsid w:val="00DA0389"/>
    <w:rsid w:val="00DC1540"/>
    <w:rsid w:val="00DD6F38"/>
    <w:rsid w:val="00DF0C5A"/>
    <w:rsid w:val="00DF17BE"/>
    <w:rsid w:val="00DF257E"/>
    <w:rsid w:val="00E23153"/>
    <w:rsid w:val="00E2543A"/>
    <w:rsid w:val="00E33E05"/>
    <w:rsid w:val="00E70AC4"/>
    <w:rsid w:val="00E80609"/>
    <w:rsid w:val="00E82ED6"/>
    <w:rsid w:val="00E92C39"/>
    <w:rsid w:val="00E94986"/>
    <w:rsid w:val="00E9499F"/>
    <w:rsid w:val="00EA2C4F"/>
    <w:rsid w:val="00EB1A0C"/>
    <w:rsid w:val="00EB67E1"/>
    <w:rsid w:val="00EC62B7"/>
    <w:rsid w:val="00ED2EC7"/>
    <w:rsid w:val="00ED5138"/>
    <w:rsid w:val="00EF178F"/>
    <w:rsid w:val="00F0222B"/>
    <w:rsid w:val="00F04F07"/>
    <w:rsid w:val="00F20D6D"/>
    <w:rsid w:val="00F418A8"/>
    <w:rsid w:val="00F439C8"/>
    <w:rsid w:val="00F57E60"/>
    <w:rsid w:val="00F604A1"/>
    <w:rsid w:val="00F92A7C"/>
    <w:rsid w:val="00F933CB"/>
    <w:rsid w:val="00FA54A5"/>
    <w:rsid w:val="00FD7C33"/>
    <w:rsid w:val="00FF16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BB37"/>
  <w15:chartTrackingRefBased/>
  <w15:docId w15:val="{64C1F5D1-C421-485F-924A-3B66CF15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EE3"/>
    <w:rPr>
      <w:color w:val="0563C1" w:themeColor="hyperlink"/>
      <w:u w:val="single"/>
    </w:rPr>
  </w:style>
  <w:style w:type="character" w:styleId="UnresolvedMention">
    <w:name w:val="Unresolved Mention"/>
    <w:basedOn w:val="DefaultParagraphFont"/>
    <w:uiPriority w:val="99"/>
    <w:semiHidden/>
    <w:unhideWhenUsed/>
    <w:rsid w:val="00484EE3"/>
    <w:rPr>
      <w:color w:val="605E5C"/>
      <w:shd w:val="clear" w:color="auto" w:fill="E1DFDD"/>
    </w:rPr>
  </w:style>
  <w:style w:type="character" w:styleId="CommentReference">
    <w:name w:val="annotation reference"/>
    <w:basedOn w:val="DefaultParagraphFont"/>
    <w:uiPriority w:val="99"/>
    <w:semiHidden/>
    <w:unhideWhenUsed/>
    <w:rsid w:val="00075D75"/>
    <w:rPr>
      <w:sz w:val="16"/>
      <w:szCs w:val="16"/>
    </w:rPr>
  </w:style>
  <w:style w:type="paragraph" w:styleId="CommentText">
    <w:name w:val="annotation text"/>
    <w:basedOn w:val="Normal"/>
    <w:link w:val="CommentTextChar"/>
    <w:uiPriority w:val="99"/>
    <w:unhideWhenUsed/>
    <w:rsid w:val="00075D75"/>
    <w:pPr>
      <w:spacing w:line="240" w:lineRule="auto"/>
    </w:pPr>
    <w:rPr>
      <w:sz w:val="20"/>
      <w:szCs w:val="20"/>
    </w:rPr>
  </w:style>
  <w:style w:type="character" w:customStyle="1" w:styleId="CommentTextChar">
    <w:name w:val="Comment Text Char"/>
    <w:basedOn w:val="DefaultParagraphFont"/>
    <w:link w:val="CommentText"/>
    <w:uiPriority w:val="99"/>
    <w:rsid w:val="00075D75"/>
    <w:rPr>
      <w:sz w:val="20"/>
      <w:szCs w:val="20"/>
    </w:rPr>
  </w:style>
  <w:style w:type="paragraph" w:styleId="CommentSubject">
    <w:name w:val="annotation subject"/>
    <w:basedOn w:val="CommentText"/>
    <w:next w:val="CommentText"/>
    <w:link w:val="CommentSubjectChar"/>
    <w:uiPriority w:val="99"/>
    <w:semiHidden/>
    <w:unhideWhenUsed/>
    <w:rsid w:val="00075D75"/>
    <w:rPr>
      <w:b/>
      <w:bCs/>
    </w:rPr>
  </w:style>
  <w:style w:type="character" w:customStyle="1" w:styleId="CommentSubjectChar">
    <w:name w:val="Comment Subject Char"/>
    <w:basedOn w:val="CommentTextChar"/>
    <w:link w:val="CommentSubject"/>
    <w:uiPriority w:val="99"/>
    <w:semiHidden/>
    <w:rsid w:val="00075D75"/>
    <w:rPr>
      <w:b/>
      <w:bCs/>
      <w:sz w:val="20"/>
      <w:szCs w:val="20"/>
    </w:rPr>
  </w:style>
  <w:style w:type="paragraph" w:styleId="Header">
    <w:name w:val="header"/>
    <w:basedOn w:val="Normal"/>
    <w:link w:val="HeaderChar"/>
    <w:uiPriority w:val="99"/>
    <w:unhideWhenUsed/>
    <w:rsid w:val="00D0416F"/>
    <w:pPr>
      <w:tabs>
        <w:tab w:val="center" w:pos="4252"/>
        <w:tab w:val="right" w:pos="8504"/>
      </w:tabs>
      <w:spacing w:after="0" w:line="240" w:lineRule="auto"/>
    </w:pPr>
  </w:style>
  <w:style w:type="character" w:customStyle="1" w:styleId="HeaderChar">
    <w:name w:val="Header Char"/>
    <w:basedOn w:val="DefaultParagraphFont"/>
    <w:link w:val="Header"/>
    <w:uiPriority w:val="99"/>
    <w:rsid w:val="00D0416F"/>
  </w:style>
  <w:style w:type="paragraph" w:styleId="Footer">
    <w:name w:val="footer"/>
    <w:basedOn w:val="Normal"/>
    <w:link w:val="FooterChar"/>
    <w:uiPriority w:val="99"/>
    <w:unhideWhenUsed/>
    <w:rsid w:val="00D0416F"/>
    <w:pPr>
      <w:tabs>
        <w:tab w:val="center" w:pos="4252"/>
        <w:tab w:val="right" w:pos="8504"/>
      </w:tabs>
      <w:spacing w:after="0" w:line="240" w:lineRule="auto"/>
    </w:pPr>
  </w:style>
  <w:style w:type="character" w:customStyle="1" w:styleId="FooterChar">
    <w:name w:val="Footer Char"/>
    <w:basedOn w:val="DefaultParagraphFont"/>
    <w:link w:val="Footer"/>
    <w:uiPriority w:val="99"/>
    <w:rsid w:val="00D0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I_x002d_QO xmlns="4213deca-91d5-4863-a86b-37f9ba5d141a">Não</QI_x002d_QO>
    <Confidentiality xmlns="http://schemas.microsoft.com/sharepoint/v3/fields">Praxair Internal</Confidentiality>
    <Status xmlns="4213deca-91d5-4863-a86b-37f9ba5d141a">Vigente</Status>
    <Normas_x0020_Aplic_x00e1_veis xmlns="4213deca-91d5-4863-a86b-37f9ba5d141a">NQ 10059</Normas_x0020_Aplic_x00e1_veis>
    <Revis_x00e3_o xmlns="4213deca-91d5-4863-a86b-37f9ba5d141a">02</Revis_x00e3_o>
    <Para_x0020_qualifica_x00e7__x00e3_o_x0020__x0028_QI_x0020__x002f__x0020_QO_x0029_ xmlns="4213deca-91d5-4863-a86b-37f9ba5d141a">Não</Para_x0020_qualifica_x00e7__x00e3_o_x0020__x0028_QI_x0020__x002f__x0020_QO_x0029_>
    <Data xmlns="4213deca-91d5-4863-a86b-37f9ba5d141a">06/2026</Data>
    <DocumentDescript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axair Document" ma:contentTypeID="0x0101005332F085960B44D6AE9F21E430192CB90100872A1D93FF673044B244C6FECF66743C" ma:contentTypeVersion="15" ma:contentTypeDescription="Praxair Content Types" ma:contentTypeScope="" ma:versionID="c45bebc04acd77859484e5411a638282">
  <xsd:schema xmlns:xsd="http://www.w3.org/2001/XMLSchema" xmlns:xs="http://www.w3.org/2001/XMLSchema" xmlns:p="http://schemas.microsoft.com/office/2006/metadata/properties" xmlns:ns1="4213deca-91d5-4863-a86b-37f9ba5d141a" xmlns:ns3="http://schemas.microsoft.com/sharepoint/v3/fields" targetNamespace="http://schemas.microsoft.com/office/2006/metadata/properties" ma:root="true" ma:fieldsID="acb979e7e82243b82305d19e93245340" ns1:_="" ns3:_="">
    <xsd:import namespace="4213deca-91d5-4863-a86b-37f9ba5d141a"/>
    <xsd:import namespace="http://schemas.microsoft.com/sharepoint/v3/fields"/>
    <xsd:element name="properties">
      <xsd:complexType>
        <xsd:sequence>
          <xsd:element name="documentManagement">
            <xsd:complexType>
              <xsd:all>
                <xsd:element ref="ns1:Para_x0020_qualifica_x00e7__x00e3_o_x0020__x0028_QI_x0020__x002f__x0020_QO_x0029_" minOccurs="0"/>
                <xsd:element ref="ns1:Normas_x0020_Aplic_x00e1_veis" minOccurs="0"/>
                <xsd:element ref="ns1:Revis_x00e3_o"/>
                <xsd:element ref="ns1:Data" minOccurs="0"/>
                <xsd:element ref="ns1:Status" minOccurs="0"/>
                <xsd:element ref="ns1:QI_x002d_QO" minOccurs="0"/>
                <xsd:element ref="ns3:Confidentiality" minOccurs="0"/>
                <xsd:element ref="ns3:Doc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3deca-91d5-4863-a86b-37f9ba5d141a" elementFormDefault="qualified">
    <xsd:import namespace="http://schemas.microsoft.com/office/2006/documentManagement/types"/>
    <xsd:import namespace="http://schemas.microsoft.com/office/infopath/2007/PartnerControls"/>
    <xsd:element name="Para_x0020_qualifica_x00e7__x00e3_o_x0020__x0028_QI_x0020__x002f__x0020_QO_x0029_" ma:index="0" nillable="true" ma:displayName="Para qualificação (QI / QO)" ma:default="Não" ma:format="RadioButtons" ma:internalName="Para_x0020_qualifica_x00e7__x00e3_o_x0020__x0028_QI_x0020__x002f__x0020_QO_x0029_">
      <xsd:simpleType>
        <xsd:restriction base="dms:Choice">
          <xsd:enumeration value="Não"/>
          <xsd:enumeration value="Sim"/>
        </xsd:restriction>
      </xsd:simpleType>
    </xsd:element>
    <xsd:element name="Normas_x0020_Aplic_x00e1_veis" ma:index="2" nillable="true" ma:displayName="Normas Aplicáveis" ma:internalName="Normas_x0020_Aplic_x00e1_veis">
      <xsd:simpleType>
        <xsd:restriction base="dms:Text">
          <xsd:maxLength value="255"/>
        </xsd:restriction>
      </xsd:simpleType>
    </xsd:element>
    <xsd:element name="Revis_x00e3_o" ma:index="4" ma:displayName="Revisão" ma:internalName="Revis_x00e3_o" ma:readOnly="false">
      <xsd:simpleType>
        <xsd:restriction base="dms:Text">
          <xsd:maxLength value="8"/>
        </xsd:restriction>
      </xsd:simpleType>
    </xsd:element>
    <xsd:element name="Data" ma:index="5" nillable="true" ma:displayName="Data" ma:internalName="Data">
      <xsd:simpleType>
        <xsd:restriction base="dms:Text">
          <xsd:maxLength value="8"/>
        </xsd:restriction>
      </xsd:simpleType>
    </xsd:element>
    <xsd:element name="Status" ma:index="6" nillable="true" ma:displayName="Status" ma:default="Vigente" ma:format="RadioButtons" ma:internalName="Status">
      <xsd:simpleType>
        <xsd:restriction base="dms:Choice">
          <xsd:enumeration value="Vigente"/>
          <xsd:enumeration value="Cancelado"/>
        </xsd:restriction>
      </xsd:simpleType>
    </xsd:element>
    <xsd:element name="QI_x002d_QO" ma:index="7" nillable="true" ma:displayName="QI-QO" ma:default="Não" ma:format="RadioButtons" ma:internalName="QI_x002d_QO">
      <xsd:simpleType>
        <xsd:restriction base="dms:Choice">
          <xsd:enumeration value="Não"/>
          <xsd:enumeration value="Si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fidentiality" ma:index="8" nillable="true" ma:displayName="Confidentiality" ma:default="Praxair Internal" ma:description="Indicates whether or not this content may be shared outside Praxair.  Praxair Internal means that the document may not be shared with someone who is not a Praxair employee." ma:hidden="true" ma:internalName="Confidentiality" ma:readOnly="false">
      <xsd:simpleType>
        <xsd:restriction base="dms:Choice">
          <xsd:enumeration value="Praxair Internal"/>
          <xsd:enumeration value="High Confidentiality"/>
          <xsd:enumeration value="Public"/>
        </xsd:restriction>
      </xsd:simpleType>
    </xsd:element>
    <xsd:element name="DocumentDescription" ma:index="14" nillable="true" ma:displayName="Document Description" ma:description="Description of the document, if not obvious from the name.  Limited to 255 characters, including spaces." ma:hidden="true" ma:internalName="DocumentDescripti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údo"/>
        <xsd:element ref="dc:title"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635483159594472183</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A50B9-829A-416E-81ED-FA803D185901}">
  <ds:schemaRefs>
    <ds:schemaRef ds:uri="http://schemas.openxmlformats.org/officeDocument/2006/bibliography"/>
  </ds:schemaRefs>
</ds:datastoreItem>
</file>

<file path=customXml/itemProps2.xml><?xml version="1.0" encoding="utf-8"?>
<ds:datastoreItem xmlns:ds="http://schemas.openxmlformats.org/officeDocument/2006/customXml" ds:itemID="{AA2468A2-9CC8-4888-8FDE-A6EC6BA591A8}">
  <ds:schemaRefs>
    <ds:schemaRef ds:uri="http://schemas.microsoft.com/office/2006/metadata/properties"/>
    <ds:schemaRef ds:uri="http://schemas.microsoft.com/sharepoint/v3/field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4213deca-91d5-4863-a86b-37f9ba5d141a"/>
    <ds:schemaRef ds:uri="http://purl.org/dc/dcmitype/"/>
    <ds:schemaRef ds:uri="http://purl.org/dc/terms/"/>
  </ds:schemaRefs>
</ds:datastoreItem>
</file>

<file path=customXml/itemProps3.xml><?xml version="1.0" encoding="utf-8"?>
<ds:datastoreItem xmlns:ds="http://schemas.openxmlformats.org/officeDocument/2006/customXml" ds:itemID="{EC1E42A0-E047-4349-B99D-49B44B3A5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3deca-91d5-4863-a86b-37f9ba5d14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0B6FA-ED27-4818-9FC8-E664BDBA042D}">
  <ds:schemaRefs>
    <ds:schemaRef ds:uri="http://schemas.microsoft.com/sharepoint/events"/>
  </ds:schemaRefs>
</ds:datastoreItem>
</file>

<file path=customXml/itemProps5.xml><?xml version="1.0" encoding="utf-8"?>
<ds:datastoreItem xmlns:ds="http://schemas.openxmlformats.org/officeDocument/2006/customXml" ds:itemID="{CE27EE33-E1A6-4130-8E55-31C98C83B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8503</Characters>
  <Application>Microsoft Office Word</Application>
  <DocSecurity>12</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Técnica – Texto do Rótulo – Folheto Informativo – Oxigênio + Óxido Nitroso Medicinal - Entonox</dc:title>
  <dc:subject/>
  <dc:creator>Thiago Martins</dc:creator>
  <cp:keywords/>
  <dc:description/>
  <cp:lastModifiedBy>Julia Costa</cp:lastModifiedBy>
  <cp:revision>2</cp:revision>
  <dcterms:created xsi:type="dcterms:W3CDTF">2026-06-15T13:49:00Z</dcterms:created>
  <dcterms:modified xsi:type="dcterms:W3CDTF">2026-06-15T13:49:00Z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0x0101005332F085960B44D6AE9F21E430192CB90100872A1D93FF673044B244C6FECF66743C</vt:lpwstr>
  </property>
  <property fmtid="{D5CDD505-2E9C-101B-9397-08002B2CF9AE}" pid="3" name="MediaServiceImageTags">
    <vt:lpwstr/>
  </property>
</Properties>
</file>