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1416" w14:textId="684FA019" w:rsidR="00B87F23" w:rsidRPr="00B31FCA" w:rsidRDefault="00DC1E59" w:rsidP="00B87F23">
      <w:pPr>
        <w:rPr>
          <w:rFonts w:ascii="LindeDaxOffice Medium" w:hAnsi="LindeDaxOffice Medium"/>
          <w:b/>
          <w:bCs/>
        </w:rPr>
      </w:pPr>
      <w:r w:rsidRPr="00233E4A">
        <w:rPr>
          <w:rFonts w:ascii="LindeDaxOffice Medium" w:hAnsi="LindeDaxOffice Medium"/>
          <w:b/>
          <w:bCs/>
        </w:rPr>
        <w:t xml:space="preserve">Ficha Técnica – </w:t>
      </w:r>
      <w:r>
        <w:rPr>
          <w:rFonts w:ascii="LindeDaxOffice Medium" w:hAnsi="LindeDaxOffice Medium"/>
          <w:b/>
          <w:bCs/>
        </w:rPr>
        <w:t xml:space="preserve">Texto do </w:t>
      </w:r>
      <w:r w:rsidRPr="00233E4A">
        <w:rPr>
          <w:rFonts w:ascii="LindeDaxOffice Medium" w:hAnsi="LindeDaxOffice Medium"/>
          <w:b/>
          <w:bCs/>
        </w:rPr>
        <w:t>Rótulo – Folheto Informativo</w:t>
      </w:r>
    </w:p>
    <w:p w14:paraId="529C168A" w14:textId="55D71A3D" w:rsidR="006D2EA2" w:rsidRPr="006D2EA2" w:rsidRDefault="00BA4CC0" w:rsidP="006D2EA2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 xml:space="preserve">Hélio </w:t>
      </w:r>
      <w:r w:rsidR="00287E67" w:rsidRPr="00B31FCA">
        <w:rPr>
          <w:rFonts w:ascii="LindeDaxOffice Medium" w:hAnsi="LindeDaxOffice Medium"/>
          <w:b/>
          <w:bCs/>
        </w:rPr>
        <w:t xml:space="preserve">(He) </w:t>
      </w:r>
      <w:r w:rsidRPr="00B31FCA">
        <w:rPr>
          <w:rFonts w:ascii="LindeDaxOffice Medium" w:hAnsi="LindeDaxOffice Medium"/>
          <w:b/>
          <w:bCs/>
        </w:rPr>
        <w:t>Medicinal 79% + Oxigênio</w:t>
      </w:r>
      <w:r w:rsidR="00287E67" w:rsidRPr="00B31FCA">
        <w:rPr>
          <w:rFonts w:ascii="LindeDaxOffice Medium" w:hAnsi="LindeDaxOffice Medium"/>
          <w:b/>
          <w:bCs/>
        </w:rPr>
        <w:t xml:space="preserve"> (O</w:t>
      </w:r>
      <w:r w:rsidR="00287E67" w:rsidRPr="00B31FCA">
        <w:rPr>
          <w:rFonts w:ascii="LindeDaxOffice Medium" w:hAnsi="LindeDaxOffice Medium"/>
          <w:b/>
          <w:bCs/>
          <w:vertAlign w:val="subscript"/>
        </w:rPr>
        <w:t>2</w:t>
      </w:r>
      <w:r w:rsidR="00287E67" w:rsidRPr="00B31FCA">
        <w:rPr>
          <w:rFonts w:ascii="LindeDaxOffice Medium" w:hAnsi="LindeDaxOffice Medium"/>
          <w:b/>
          <w:bCs/>
        </w:rPr>
        <w:t>)</w:t>
      </w:r>
      <w:r w:rsidRPr="00B31FCA">
        <w:rPr>
          <w:rFonts w:ascii="LindeDaxOffice Medium" w:hAnsi="LindeDaxOffice Medium"/>
          <w:b/>
          <w:bCs/>
        </w:rPr>
        <w:t xml:space="preserve"> Medicinal 21%</w:t>
      </w:r>
      <w:r w:rsidR="00891799" w:rsidRPr="00B31FCA">
        <w:rPr>
          <w:rFonts w:ascii="LindeDaxOffice Medium" w:hAnsi="LindeDaxOffice Medium"/>
          <w:b/>
          <w:bCs/>
        </w:rPr>
        <w:t xml:space="preserve">, </w:t>
      </w:r>
      <w:r w:rsidR="004806A8" w:rsidRPr="00B31FCA">
        <w:rPr>
          <w:rFonts w:ascii="LindeDaxOffice Medium" w:hAnsi="LindeDaxOffice Medium"/>
          <w:b/>
          <w:bCs/>
        </w:rPr>
        <w:t>Comprimido</w:t>
      </w:r>
      <w:r w:rsidR="006D2EA2">
        <w:rPr>
          <w:rFonts w:ascii="LindeDaxOffice Medium" w:hAnsi="LindeDaxOffice Medium"/>
          <w:b/>
          <w:bCs/>
        </w:rPr>
        <w:t>,</w:t>
      </w:r>
      <w:r w:rsidR="006D2EA2" w:rsidRPr="006D2EA2">
        <w:rPr>
          <w:rFonts w:ascii="LindeDaxOffice Medium" w:hAnsi="LindeDaxOffice Medium"/>
          <w:b/>
          <w:bCs/>
        </w:rPr>
        <w:t xml:space="preserve"> ONU 1956</w:t>
      </w:r>
      <w:r w:rsidR="006D2EA2">
        <w:rPr>
          <w:rFonts w:ascii="LindeDaxOffice Medium" w:hAnsi="LindeDaxOffice Medium"/>
          <w:b/>
          <w:bCs/>
        </w:rPr>
        <w:t>,</w:t>
      </w:r>
      <w:r w:rsidR="006D2EA2" w:rsidRPr="006D2EA2">
        <w:rPr>
          <w:rFonts w:ascii="LindeDaxOffice Medium" w:hAnsi="LindeDaxOffice Medium"/>
          <w:b/>
          <w:bCs/>
        </w:rPr>
        <w:t xml:space="preserve"> Conexão ABNT 218-1</w:t>
      </w:r>
    </w:p>
    <w:p w14:paraId="37E339DF" w14:textId="12482B03" w:rsidR="00E94F65" w:rsidRPr="00B31FCA" w:rsidRDefault="00242C22" w:rsidP="00E94F65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>Nome Comercial:</w:t>
      </w:r>
      <w:r w:rsidR="00680E54" w:rsidRPr="00B31FCA">
        <w:rPr>
          <w:rFonts w:ascii="LindeDaxOffice Medium" w:hAnsi="LindeDaxOffice Medium"/>
          <w:b/>
          <w:bCs/>
        </w:rPr>
        <w:t xml:space="preserve"> </w:t>
      </w:r>
      <w:r w:rsidR="00680E54" w:rsidRPr="001F6EE4">
        <w:rPr>
          <w:rFonts w:ascii="LindeDaxOffice Medium" w:hAnsi="LindeDaxOffice Medium"/>
        </w:rPr>
        <w:t xml:space="preserve">Heliox </w:t>
      </w:r>
      <w:r w:rsidR="00814A33" w:rsidRPr="001F6EE4">
        <w:rPr>
          <w:rFonts w:ascii="LindeDaxOffice Medium" w:hAnsi="LindeDaxOffice Medium"/>
        </w:rPr>
        <w:t>79</w:t>
      </w:r>
      <w:r w:rsidR="00680E54" w:rsidRPr="001F6EE4">
        <w:rPr>
          <w:rFonts w:ascii="LindeDaxOffice Medium" w:hAnsi="LindeDaxOffice Medium"/>
        </w:rPr>
        <w:t>/</w:t>
      </w:r>
      <w:r w:rsidR="00AA5DC6" w:rsidRPr="001F6EE4">
        <w:rPr>
          <w:rFonts w:ascii="LindeDaxOffice Medium" w:hAnsi="LindeDaxOffice Medium"/>
        </w:rPr>
        <w:t>2</w:t>
      </w:r>
      <w:r w:rsidR="00814A33" w:rsidRPr="001F6EE4">
        <w:rPr>
          <w:rFonts w:ascii="LindeDaxOffice Medium" w:hAnsi="LindeDaxOffice Medium"/>
        </w:rPr>
        <w:t>1</w:t>
      </w:r>
    </w:p>
    <w:p w14:paraId="0DB7594E" w14:textId="65100A6F" w:rsidR="0096291B" w:rsidRPr="00B31FCA" w:rsidRDefault="0096291B" w:rsidP="00345506">
      <w:pPr>
        <w:spacing w:after="0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Composição do Gás Medicinal:</w:t>
      </w:r>
      <w:r w:rsidRPr="00B31FCA">
        <w:rPr>
          <w:rFonts w:ascii="LindeDaxOffice Medium" w:hAnsi="LindeDaxOffice Medium"/>
        </w:rPr>
        <w:t xml:space="preserve"> 79% Hélio + 21% Oxigênio</w:t>
      </w:r>
    </w:p>
    <w:tbl>
      <w:tblPr>
        <w:tblStyle w:val="TableGrid"/>
        <w:tblpPr w:leftFromText="141" w:rightFromText="141" w:vertAnchor="text" w:horzAnchor="margin" w:tblpY="274"/>
        <w:tblW w:w="2830" w:type="dxa"/>
        <w:tblLook w:val="04A0" w:firstRow="1" w:lastRow="0" w:firstColumn="1" w:lastColumn="0" w:noHBand="0" w:noVBand="1"/>
      </w:tblPr>
      <w:tblGrid>
        <w:gridCol w:w="1847"/>
        <w:gridCol w:w="983"/>
      </w:tblGrid>
      <w:tr w:rsidR="00D96F5D" w14:paraId="2B749349" w14:textId="77777777" w:rsidTr="00D96F5D">
        <w:tc>
          <w:tcPr>
            <w:tcW w:w="1847" w:type="dxa"/>
          </w:tcPr>
          <w:p w14:paraId="68454F2E" w14:textId="77777777" w:rsidR="00D96F5D" w:rsidRPr="00761AE3" w:rsidRDefault="00D96F5D" w:rsidP="00296F5D">
            <w:pPr>
              <w:rPr>
                <w:b/>
                <w:bCs/>
              </w:rPr>
            </w:pPr>
            <w:r w:rsidRPr="00761AE3">
              <w:rPr>
                <w:b/>
                <w:bCs/>
              </w:rPr>
              <w:t>Tipo de cilindro</w:t>
            </w:r>
          </w:p>
        </w:tc>
        <w:tc>
          <w:tcPr>
            <w:tcW w:w="983" w:type="dxa"/>
          </w:tcPr>
          <w:p w14:paraId="5C84A5C5" w14:textId="77777777" w:rsidR="00D96F5D" w:rsidRPr="007D1262" w:rsidRDefault="00D96F5D" w:rsidP="00296F5D">
            <w:pPr>
              <w:jc w:val="center"/>
              <w:rPr>
                <w:b/>
                <w:bCs/>
              </w:rPr>
            </w:pPr>
            <w:r w:rsidRPr="007D1262">
              <w:rPr>
                <w:b/>
                <w:bCs/>
              </w:rPr>
              <w:t>T</w:t>
            </w:r>
          </w:p>
        </w:tc>
      </w:tr>
      <w:tr w:rsidR="00D96F5D" w14:paraId="2E9258D6" w14:textId="77777777" w:rsidTr="00D96F5D">
        <w:tc>
          <w:tcPr>
            <w:tcW w:w="1847" w:type="dxa"/>
          </w:tcPr>
          <w:p w14:paraId="32433315" w14:textId="77777777" w:rsidR="00D96F5D" w:rsidRPr="00761AE3" w:rsidRDefault="00D96F5D" w:rsidP="00296F5D">
            <w:pPr>
              <w:rPr>
                <w:b/>
                <w:bCs/>
              </w:rPr>
            </w:pPr>
            <w:r w:rsidRPr="00761AE3">
              <w:rPr>
                <w:b/>
                <w:bCs/>
              </w:rPr>
              <w:t>Quantidade (m³)</w:t>
            </w:r>
          </w:p>
        </w:tc>
        <w:tc>
          <w:tcPr>
            <w:tcW w:w="983" w:type="dxa"/>
          </w:tcPr>
          <w:p w14:paraId="6FFEBD97" w14:textId="49BC47B2" w:rsidR="00D96F5D" w:rsidRDefault="00D96F5D" w:rsidP="00296F5D">
            <w:pPr>
              <w:jc w:val="center"/>
            </w:pPr>
            <w:r>
              <w:t>8,2</w:t>
            </w:r>
          </w:p>
        </w:tc>
      </w:tr>
    </w:tbl>
    <w:p w14:paraId="359CC7E1" w14:textId="32BF1996" w:rsidR="00680E54" w:rsidRPr="0063475F" w:rsidRDefault="00680E54" w:rsidP="00E94F65">
      <w:pPr>
        <w:jc w:val="both"/>
        <w:rPr>
          <w:rFonts w:ascii="LindeDaxOffice Medium" w:hAnsi="LindeDaxOffice Medium"/>
          <w:b/>
          <w:bCs/>
        </w:rPr>
      </w:pPr>
    </w:p>
    <w:p w14:paraId="0AD19021" w14:textId="77777777" w:rsidR="00345506" w:rsidRDefault="00345506" w:rsidP="00345506">
      <w:pPr>
        <w:spacing w:after="0"/>
        <w:jc w:val="both"/>
        <w:rPr>
          <w:rFonts w:ascii="LindeDaxOffice Medium" w:hAnsi="LindeDaxOffice Medium"/>
          <w:b/>
          <w:bCs/>
        </w:rPr>
      </w:pPr>
    </w:p>
    <w:p w14:paraId="56604EAA" w14:textId="77777777" w:rsidR="00E60FA9" w:rsidRDefault="00E60FA9" w:rsidP="00C04EF6">
      <w:pPr>
        <w:jc w:val="both"/>
        <w:rPr>
          <w:rFonts w:ascii="LindeDaxOffice Medium" w:hAnsi="LindeDaxOffice Medium"/>
          <w:b/>
          <w:bCs/>
        </w:rPr>
      </w:pPr>
    </w:p>
    <w:p w14:paraId="545E4E36" w14:textId="5CDAF11A" w:rsidR="00C04EF6" w:rsidRPr="00B31FCA" w:rsidRDefault="00C04EF6" w:rsidP="00C04EF6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Via de Administração</w:t>
      </w:r>
      <w:r w:rsidRPr="00B31FCA">
        <w:rPr>
          <w:rFonts w:ascii="LindeDaxOffice Medium" w:hAnsi="LindeDaxOffice Medium"/>
        </w:rPr>
        <w:t>: Via inalatória, através de equipamentos de ventilação mecânica e/ou de anestesia ou através de máscaras específicas, catéteres e nebulizadores, sempre sob orientação médica. Os pacientes devem ser monitorados. As propriedades físicas das misturas de hélio/oxigênio são diferentes comparado ao oxigênio ou misturas de oxigênio/ar. É fundamental que seja usado em combinação com dispositivos e taxas de fluxo adequados para evitar a entrada de ar ambiente e manter a concentração de hélio desejada. Pode ser administrado com oxigênio suplementar, a critério do médico, de acordo com as necessidades do paciente. Se o uso for prolongado, pode ser necessária a umidificação. O risco de resfriamento das vias aéreas e do corpo em geral deve ser levado em consideração, especialmente em crianças menores.</w:t>
      </w:r>
    </w:p>
    <w:p w14:paraId="72EEB378" w14:textId="2DFD6069" w:rsidR="0022471E" w:rsidRPr="00B31FCA" w:rsidRDefault="0022471E" w:rsidP="0022471E">
      <w:pPr>
        <w:rPr>
          <w:rFonts w:ascii="LindeDaxOffice Medium" w:hAnsi="LindeDaxOffice Medium"/>
        </w:rPr>
      </w:pPr>
      <w:r>
        <w:rPr>
          <w:rFonts w:ascii="LindeDaxOffice Medium" w:hAnsi="LindeDaxOffice Medium"/>
          <w:b/>
          <w:bCs/>
        </w:rPr>
        <w:t xml:space="preserve">Número de </w:t>
      </w:r>
      <w:r w:rsidRPr="00B31FCA">
        <w:rPr>
          <w:rFonts w:ascii="LindeDaxOffice Medium" w:hAnsi="LindeDaxOffice Medium"/>
          <w:b/>
          <w:bCs/>
        </w:rPr>
        <w:t xml:space="preserve">Lote e </w:t>
      </w:r>
      <w:r w:rsidR="00435167" w:rsidRPr="00B31FCA">
        <w:rPr>
          <w:rFonts w:ascii="LindeDaxOffice Medium" w:hAnsi="LindeDaxOffice Medium"/>
          <w:b/>
          <w:bCs/>
        </w:rPr>
        <w:t>Data de Fabricação</w:t>
      </w:r>
      <w:r w:rsidRPr="00B31FCA">
        <w:rPr>
          <w:rFonts w:ascii="LindeDaxOffice Medium" w:hAnsi="LindeDaxOffice Medium"/>
          <w:b/>
          <w:bCs/>
        </w:rPr>
        <w:t>:</w:t>
      </w:r>
      <w:r w:rsidRPr="00B31FCA">
        <w:rPr>
          <w:rFonts w:ascii="LindeDaxOffice Medium" w:hAnsi="LindeDaxOffice Medium"/>
        </w:rPr>
        <w:t xml:space="preserve"> Consultar etiqueta adicional no cilindro</w:t>
      </w:r>
    </w:p>
    <w:p w14:paraId="784721A9" w14:textId="46879B72" w:rsidR="0022471E" w:rsidRDefault="0022471E" w:rsidP="0022471E">
      <w:pPr>
        <w:spacing w:after="0" w:line="240" w:lineRule="auto"/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 xml:space="preserve">Prazo de </w:t>
      </w:r>
      <w:r w:rsidR="00B37763" w:rsidRPr="00B31FCA">
        <w:rPr>
          <w:rFonts w:ascii="LindeDaxOffice Medium" w:hAnsi="LindeDaxOffice Medium"/>
          <w:b/>
          <w:bCs/>
        </w:rPr>
        <w:t>Validade</w:t>
      </w:r>
      <w:r w:rsidRPr="00B31FCA">
        <w:rPr>
          <w:rFonts w:ascii="LindeDaxOffice Medium" w:hAnsi="LindeDaxOffice Medium"/>
          <w:b/>
          <w:bCs/>
        </w:rPr>
        <w:t xml:space="preserve">: </w:t>
      </w:r>
      <w:r w:rsidRPr="00B31FCA">
        <w:rPr>
          <w:rFonts w:ascii="LindeDaxOffice Medium" w:hAnsi="LindeDaxOffice Medium"/>
        </w:rPr>
        <w:t>3 anos a partir da data de fabricação</w:t>
      </w:r>
    </w:p>
    <w:p w14:paraId="0F12CDF8" w14:textId="77777777" w:rsidR="0022471E" w:rsidRPr="00B31FCA" w:rsidRDefault="0022471E" w:rsidP="0022471E">
      <w:pPr>
        <w:spacing w:after="0" w:line="240" w:lineRule="auto"/>
        <w:jc w:val="both"/>
        <w:rPr>
          <w:rFonts w:ascii="LindeDaxOffice Medium" w:hAnsi="LindeDaxOffice Medium"/>
        </w:rPr>
      </w:pPr>
    </w:p>
    <w:p w14:paraId="683EBE18" w14:textId="77777777" w:rsidR="00862C29" w:rsidRPr="00B31FCA" w:rsidRDefault="00862C29" w:rsidP="00862C29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 xml:space="preserve">Indicações: </w:t>
      </w:r>
      <w:r w:rsidRPr="00B31FCA">
        <w:rPr>
          <w:rFonts w:ascii="LindeDaxOffice Medium" w:hAnsi="LindeDaxOffice Medium"/>
        </w:rPr>
        <w:t xml:space="preserve">como coadjuvante na desobstrução das vias aéreas superiores e inferiores para redução do esforço respiratório. Como veículo para a inalação de outros medicamentos. </w:t>
      </w:r>
    </w:p>
    <w:p w14:paraId="4EAD2734" w14:textId="77777777" w:rsidR="00862C29" w:rsidRDefault="00862C29" w:rsidP="00862C29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 xml:space="preserve">Contraindicações: </w:t>
      </w:r>
      <w:r w:rsidRPr="00B31FCA">
        <w:rPr>
          <w:rFonts w:ascii="LindeDaxOffice Medium" w:hAnsi="LindeDaxOffice Medium"/>
        </w:rPr>
        <w:t>não há contraindicações conhecidas.</w:t>
      </w:r>
    </w:p>
    <w:p w14:paraId="73DE266D" w14:textId="298D28A9" w:rsidR="008D0914" w:rsidRPr="00B31FCA" w:rsidRDefault="008D0914" w:rsidP="00862C29">
      <w:pPr>
        <w:jc w:val="both"/>
        <w:rPr>
          <w:rFonts w:ascii="LindeDaxOffice Medium" w:hAnsi="LindeDaxOffice Medium"/>
          <w:b/>
          <w:bCs/>
        </w:rPr>
      </w:pPr>
      <w:r w:rsidRPr="008D0914">
        <w:rPr>
          <w:rFonts w:ascii="LindeDaxOffice Medium" w:hAnsi="LindeDaxOffice Medium"/>
          <w:b/>
          <w:bCs/>
        </w:rPr>
        <w:t>P</w:t>
      </w:r>
      <w:r>
        <w:rPr>
          <w:rFonts w:ascii="LindeDaxOffice Medium" w:hAnsi="LindeDaxOffice Medium"/>
          <w:b/>
          <w:bCs/>
        </w:rPr>
        <w:t>erigo</w:t>
      </w:r>
      <w:r w:rsidRPr="008D0914">
        <w:rPr>
          <w:rFonts w:ascii="LindeDaxOffice Medium" w:hAnsi="LindeDaxOffice Medium"/>
          <w:b/>
          <w:bCs/>
        </w:rPr>
        <w:t xml:space="preserve">: </w:t>
      </w:r>
      <w:r w:rsidRPr="008D0914">
        <w:rPr>
          <w:rFonts w:ascii="LindeDaxOffice Medium" w:hAnsi="LindeDaxOffice Medium"/>
        </w:rPr>
        <w:t>Contém gás sob pressão; pode explodir sob a ação do calor; mantenha ao abrigo da luz solar; armazene em local bem ventilado.</w:t>
      </w:r>
    </w:p>
    <w:p w14:paraId="2DE15ED4" w14:textId="77777777" w:rsidR="00AF1720" w:rsidRPr="00B31FCA" w:rsidRDefault="00AF1720" w:rsidP="00AF1720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>Precauções:</w:t>
      </w:r>
      <w:r w:rsidRPr="00B31FCA">
        <w:rPr>
          <w:rFonts w:ascii="LindeDaxOffice Medium" w:hAnsi="LindeDaxOffice Medium"/>
        </w:rPr>
        <w:t xml:space="preserve"> devido à maior condutividade térmica do hélio medicinal, pode ser necessário a umidificação e aquecimento da mistura antes da administração para evitar hipotermia em pacientes vulneráveis como, por exemplo, pacientes pediátricos. </w:t>
      </w:r>
    </w:p>
    <w:p w14:paraId="6FF3F703" w14:textId="77777777" w:rsidR="009566F8" w:rsidRPr="00B31FCA" w:rsidRDefault="009566F8" w:rsidP="009566F8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 xml:space="preserve">Reações Adversas: </w:t>
      </w:r>
      <w:r w:rsidRPr="00B31FCA">
        <w:rPr>
          <w:rFonts w:ascii="LindeDaxOffice Medium" w:hAnsi="LindeDaxOffice Medium"/>
        </w:rPr>
        <w:t>alteração temporária no tom de voz devido a menor densidade do hélio medicinal em relação ao ar ambiente. Hipotermia, especialmente em pacientes vulneráveis, como os pediátricos, devido à alta condutividade térmica do hélio medicinal.</w:t>
      </w:r>
    </w:p>
    <w:p w14:paraId="0787D8AF" w14:textId="77777777" w:rsidR="00805EB5" w:rsidRPr="00B31FCA" w:rsidRDefault="00805EB5" w:rsidP="00805EB5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 xml:space="preserve">Interações Medicamentosas: </w:t>
      </w:r>
      <w:r w:rsidRPr="00B31FCA">
        <w:rPr>
          <w:rFonts w:ascii="LindeDaxOffice Medium" w:hAnsi="LindeDaxOffice Medium"/>
        </w:rPr>
        <w:t>não há interações medicamentosas conhecidas.</w:t>
      </w:r>
    </w:p>
    <w:p w14:paraId="291E61DE" w14:textId="77777777" w:rsidR="00805EB5" w:rsidRPr="00B31FCA" w:rsidRDefault="00805EB5" w:rsidP="00805EB5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Linha de Produção:</w:t>
      </w:r>
      <w:r w:rsidRPr="00B31FCA">
        <w:rPr>
          <w:rFonts w:ascii="LindeDaxOffice Medium" w:hAnsi="LindeDaxOffice Medium"/>
        </w:rPr>
        <w:t xml:space="preserve"> Gás medicinal, comprimido.</w:t>
      </w:r>
    </w:p>
    <w:p w14:paraId="4F07C65E" w14:textId="51464089" w:rsidR="00E61908" w:rsidRPr="00B31FCA" w:rsidRDefault="00485BE6" w:rsidP="00E61908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Posologia e Administração</w:t>
      </w:r>
      <w:r w:rsidR="00E61908" w:rsidRPr="00B31FCA">
        <w:rPr>
          <w:rFonts w:ascii="LindeDaxOffice Medium" w:hAnsi="LindeDaxOffice Medium"/>
        </w:rPr>
        <w:t>: A concentração, o fluxo e o tempo de administração dos gases medicinais devem ser determinados pelo profissional de saúde habilitado de acordo com o procedimento realizado e o estado de saúde do paciente. Na administração dos gases medicinais por inalação deve-se assegurar quantidade adequada de oxigênio na mistura de acordo com o procedimento realizado e o estado de saúde do paciente, a fim de evitar asfixia. Para uso domiciliar, o paciente deve receber treinamento completo sobre o uso do gás medicinal e equipamentos.</w:t>
      </w:r>
    </w:p>
    <w:p w14:paraId="0FE9B85F" w14:textId="114BA7DF" w:rsidR="00FE79C5" w:rsidRPr="00B31FCA" w:rsidRDefault="00485BE6" w:rsidP="00A05370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Manuseio e Armazenamento</w:t>
      </w:r>
      <w:r w:rsidR="00FE79C5" w:rsidRPr="00B31FCA">
        <w:rPr>
          <w:rFonts w:ascii="LindeDaxOffice Medium" w:hAnsi="LindeDaxOffice Medium"/>
          <w:b/>
          <w:bCs/>
        </w:rPr>
        <w:t xml:space="preserve">: </w:t>
      </w:r>
      <w:r w:rsidR="002F3C07" w:rsidRPr="00B31FCA">
        <w:rPr>
          <w:rFonts w:ascii="LindeDaxOffice Medium" w:hAnsi="LindeDaxOffice Medium"/>
        </w:rPr>
        <w:t>Armazenar os cilindros fixados na posição vertical em área limpa, bem ventilada, protegidos da chuva, de substâncias inflamáveis, de choques, de quedas, de altas temperaturas e de fontes de ignição. Manusear os cilindros com as mãos limpas</w:t>
      </w:r>
      <w:r w:rsidR="00D567E6" w:rsidRPr="00B31FCA">
        <w:rPr>
          <w:rFonts w:ascii="LindeDaxOffice Medium" w:hAnsi="LindeDaxOffice Medium"/>
        </w:rPr>
        <w:t xml:space="preserve"> (não use creme no rosto ou nas mãos, protetores labiais ou batom)</w:t>
      </w:r>
      <w:r w:rsidR="002F3C07" w:rsidRPr="00B31FCA">
        <w:rPr>
          <w:rFonts w:ascii="LindeDaxOffice Medium" w:hAnsi="LindeDaxOffice Medium"/>
        </w:rPr>
        <w:t xml:space="preserve"> e não utilizar óleo ou graxa para conectar ou desemperrar os dispositivos ao cilindro pois há risco </w:t>
      </w:r>
      <w:r w:rsidR="002F3C07" w:rsidRPr="00B31FCA">
        <w:rPr>
          <w:rFonts w:ascii="LindeDaxOffice Medium" w:hAnsi="LindeDaxOffice Medium"/>
        </w:rPr>
        <w:lastRenderedPageBreak/>
        <w:t>de combustão espontânea destes materiais com gases comburentes sob alta pressão e concentração. Não manusear os cilindros segurando-os por sua válvula. Não arrastar ou rolar os cilindros pelo chão. Não submeter os cilindros a pancadas mecânicas ou equipamentos energizados. Quando os cilindros forem instalados em sistemas centralizados, utilizar válvula de retenção na linha de saída para impedir o retorno do gás medicinal para o cilindro. Verificar a identificação do gás medicinal, pressão e compatibilidade dos dispositivos antes de fazer a ligação do cilindro ao sistema.</w:t>
      </w:r>
      <w:r w:rsidR="002F3C07" w:rsidRPr="00B31FCA">
        <w:rPr>
          <w:rFonts w:ascii="LindeDaxOffice Medium" w:hAnsi="LindeDaxOffice Medium"/>
          <w:b/>
          <w:bCs/>
        </w:rPr>
        <w:t xml:space="preserve"> </w:t>
      </w:r>
      <w:r w:rsidR="007A1512" w:rsidRPr="00B31FCA">
        <w:rPr>
          <w:rFonts w:ascii="LindeDaxOffice Medium" w:hAnsi="LindeDaxOffice Medium"/>
        </w:rPr>
        <w:t xml:space="preserve">Cilindros de gases diferentes, cheios e vazios, devem ser armazenados separadamente, transportados com as válvulas fechadas, possuir um lacre inviolado e rótulo legível. </w:t>
      </w:r>
      <w:r w:rsidR="00817C7A" w:rsidRPr="00B31FCA">
        <w:rPr>
          <w:rFonts w:ascii="LindeDaxOffice Medium" w:hAnsi="LindeDaxOffice Medium"/>
        </w:rPr>
        <w:t xml:space="preserve">Cilindros contendo diferentes tipos de gases, cheios ou vazios, devem ser mantidos separados. </w:t>
      </w:r>
      <w:r w:rsidR="00283C5E" w:rsidRPr="00B31FCA">
        <w:rPr>
          <w:rFonts w:ascii="LindeDaxOffice Medium" w:hAnsi="LindeDaxOffice Medium"/>
        </w:rPr>
        <w:t>Nunca coloque máscara ou cânula nasal diretamente sobre tecido durante o uso, pois podem ficar saturados com oxigênio e ser altamente inflamáveis, causando risco de incêndio. Caso ocorra, agite bem e areje-os. Antes da utilização, certifique-se de que resta quantidade suficiente de produto para permitir a conclusão da administração planejada.</w:t>
      </w:r>
    </w:p>
    <w:p w14:paraId="527ACA54" w14:textId="77777777" w:rsidR="008878A0" w:rsidRPr="00A1617F" w:rsidRDefault="008878A0" w:rsidP="008878A0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Informe ao seu médico ou cirurgião-dentista o aparecimento de reações indesejáveis pelo uso do gás medicinal. Informe também à empresa através do seu serviço de atendimento.</w:t>
      </w:r>
    </w:p>
    <w:p w14:paraId="4BB0DECB" w14:textId="77777777" w:rsidR="008878A0" w:rsidRPr="00A1617F" w:rsidRDefault="008878A0" w:rsidP="008878A0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Em caso de dúvidas sobre o uso deste gás medicinal, procure orientação de um profissional de saúde.</w:t>
      </w:r>
    </w:p>
    <w:p w14:paraId="5B5FE943" w14:textId="77777777" w:rsidR="008878A0" w:rsidRPr="00A1617F" w:rsidRDefault="008878A0" w:rsidP="008878A0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TODO MEDICAMENTO DEVE SER MANTIDO FORA DO ALCANCE DAS CRIANÇAS</w:t>
      </w:r>
    </w:p>
    <w:p w14:paraId="09848F2D" w14:textId="77777777" w:rsidR="008878A0" w:rsidRPr="001A6EAF" w:rsidRDefault="008878A0" w:rsidP="008878A0">
      <w:pPr>
        <w:rPr>
          <w:rFonts w:ascii="LindeDaxOffice Medium" w:hAnsi="LindeDaxOffice Medium"/>
        </w:rPr>
      </w:pPr>
      <w:r w:rsidRPr="001A6EAF">
        <w:rPr>
          <w:rFonts w:ascii="LindeDaxOffice Medium" w:hAnsi="LindeDaxOffice Medium"/>
        </w:rPr>
        <w:t>Uso sob prescrição médica. Produto exclusivamente de uso medicinal.</w:t>
      </w:r>
    </w:p>
    <w:p w14:paraId="6FE5ACE5" w14:textId="77777777" w:rsidR="008E1D1D" w:rsidRDefault="008878A0" w:rsidP="008878A0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Gás medicinal notificado conforme RDC nº 870, de 17 de maio de 2024.</w:t>
      </w:r>
    </w:p>
    <w:p w14:paraId="4407404D" w14:textId="77777777" w:rsidR="00531C82" w:rsidRDefault="00531C82" w:rsidP="00531C82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Ltda. CNPJ: </w:t>
      </w:r>
      <w:r w:rsidRPr="00F039C6">
        <w:rPr>
          <w:rFonts w:ascii="LindeDaxOffice Medium" w:hAnsi="LindeDaxOffice Medium"/>
          <w:color w:val="000000" w:themeColor="text1"/>
        </w:rPr>
        <w:t>35.820.448/0007-21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B8568F">
        <w:rPr>
          <w:rFonts w:ascii="LindeDaxOffice Medium" w:hAnsi="LindeDaxOffice Medium"/>
          <w:color w:val="000000" w:themeColor="text1"/>
        </w:rPr>
        <w:t>Rua Guianas, 80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PARTE, Campos Eliseos, </w:t>
      </w:r>
      <w:r w:rsidRPr="00381C30">
        <w:rPr>
          <w:rFonts w:ascii="LindeDaxOffice Medium" w:hAnsi="LindeDaxOffice Medium"/>
          <w:color w:val="000000" w:themeColor="text1"/>
        </w:rPr>
        <w:t xml:space="preserve">Duque </w:t>
      </w:r>
      <w:r>
        <w:rPr>
          <w:rFonts w:ascii="LindeDaxOffice Medium" w:hAnsi="LindeDaxOffice Medium"/>
          <w:color w:val="000000" w:themeColor="text1"/>
        </w:rPr>
        <w:t>de</w:t>
      </w:r>
      <w:r w:rsidRPr="00381C30">
        <w:rPr>
          <w:rFonts w:ascii="LindeDaxOffice Medium" w:hAnsi="LindeDaxOffice Medium"/>
          <w:color w:val="000000" w:themeColor="text1"/>
        </w:rPr>
        <w:t xml:space="preserve"> Caxias-RJ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CEP 25225-170</w:t>
      </w:r>
      <w:r w:rsidRPr="009E4DAF">
        <w:rPr>
          <w:rFonts w:ascii="LindeDaxOffice Medium" w:hAnsi="LindeDaxOffice Medium"/>
          <w:color w:val="000000" w:themeColor="text1"/>
        </w:rPr>
        <w:t>.</w:t>
      </w:r>
    </w:p>
    <w:p w14:paraId="653A98F2" w14:textId="77777777" w:rsidR="00531C82" w:rsidRDefault="00531C82" w:rsidP="00531C82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</w:t>
      </w:r>
      <w:r w:rsidRPr="00C1489A">
        <w:rPr>
          <w:rFonts w:ascii="LindeDaxOffice Medium" w:hAnsi="LindeDaxOffice Medium"/>
          <w:color w:val="000000" w:themeColor="text1"/>
        </w:rPr>
        <w:t>White Martins Gases Industriais Ltda. CNPJ: 35.820.448/0213-03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C1489A">
        <w:rPr>
          <w:rFonts w:ascii="LindeDaxOffice Medium" w:hAnsi="LindeDaxOffice Medium"/>
          <w:color w:val="000000" w:themeColor="text1"/>
        </w:rPr>
        <w:t>Rua Iracema Lucas, 255</w:t>
      </w:r>
      <w:r>
        <w:rPr>
          <w:rFonts w:ascii="LindeDaxOffice Medium" w:hAnsi="LindeDaxOffice Medium"/>
          <w:color w:val="000000" w:themeColor="text1"/>
        </w:rPr>
        <w:t>,</w:t>
      </w:r>
      <w:r w:rsidRPr="00C1489A">
        <w:rPr>
          <w:rFonts w:ascii="LindeDaxOffice Medium" w:hAnsi="LindeDaxOffice Medium"/>
          <w:color w:val="000000" w:themeColor="text1"/>
        </w:rPr>
        <w:t xml:space="preserve"> Distrito Industrial Benedito Storani</w:t>
      </w:r>
      <w:r>
        <w:rPr>
          <w:rFonts w:ascii="LindeDaxOffice Medium" w:hAnsi="LindeDaxOffice Medium"/>
          <w:color w:val="000000" w:themeColor="text1"/>
        </w:rPr>
        <w:t>,</w:t>
      </w:r>
      <w:r w:rsidRPr="00C1489A">
        <w:rPr>
          <w:rFonts w:ascii="LindeDaxOffice Medium" w:hAnsi="LindeDaxOffice Medium"/>
          <w:color w:val="000000" w:themeColor="text1"/>
        </w:rPr>
        <w:t xml:space="preserve"> Vinhedo/SP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C1489A">
        <w:rPr>
          <w:rFonts w:ascii="LindeDaxOffice Medium" w:hAnsi="LindeDaxOffice Medium"/>
          <w:color w:val="000000" w:themeColor="text1"/>
        </w:rPr>
        <w:t>CEP: 13288-172</w:t>
      </w:r>
      <w:r w:rsidRPr="009E4DAF">
        <w:rPr>
          <w:rFonts w:ascii="LindeDaxOffice Medium" w:hAnsi="LindeDaxOffice Medium"/>
          <w:color w:val="000000" w:themeColor="text1"/>
        </w:rPr>
        <w:t>.</w:t>
      </w:r>
    </w:p>
    <w:p w14:paraId="140A66FD" w14:textId="77777777" w:rsidR="00531C82" w:rsidRDefault="00531C82" w:rsidP="00531C82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Patricia E. M Pinto Malheiros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RJ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7384</w:t>
      </w:r>
      <w:r>
        <w:rPr>
          <w:rFonts w:ascii="LindeDaxOffice Medium" w:hAnsi="LindeDaxOffice Medium"/>
          <w:color w:val="000000" w:themeColor="text1"/>
        </w:rPr>
        <w:t>.</w:t>
      </w:r>
    </w:p>
    <w:p w14:paraId="6E1DC10A" w14:textId="77777777" w:rsidR="00531C82" w:rsidRDefault="00531C82" w:rsidP="00531C82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 xml:space="preserve">A Ficha de </w:t>
      </w:r>
      <w:r>
        <w:rPr>
          <w:rFonts w:ascii="LindeDaxOffice Medium" w:hAnsi="LindeDaxOffice Medium"/>
        </w:rPr>
        <w:t>Dados</w:t>
      </w:r>
      <w:r w:rsidRPr="00E349C1">
        <w:rPr>
          <w:rFonts w:ascii="LindeDaxOffice Medium" w:hAnsi="LindeDaxOffice Medium"/>
        </w:rPr>
        <w:t xml:space="preserve"> de Segurança </w:t>
      </w:r>
      <w:r>
        <w:rPr>
          <w:rFonts w:ascii="LindeDaxOffice Medium" w:hAnsi="LindeDaxOffice Medium"/>
        </w:rPr>
        <w:t xml:space="preserve">(FDS) </w:t>
      </w:r>
      <w:r w:rsidRPr="00E349C1">
        <w:rPr>
          <w:rFonts w:ascii="LindeDaxOffice Medium" w:hAnsi="LindeDaxOffice Medium"/>
        </w:rPr>
        <w:t xml:space="preserve">deste produto químico perigoso pode ser obtida através da </w:t>
      </w:r>
      <w:r w:rsidRPr="00E349C1">
        <w:rPr>
          <w:rFonts w:ascii="LindeDaxOffice Medium" w:hAnsi="LindeDaxOffice Medium"/>
          <w:b/>
          <w:bCs/>
        </w:rPr>
        <w:t>Central de Atendimento 0800 709-9000 ou www.whitemartins.com.br</w:t>
      </w:r>
      <w:r w:rsidRPr="00E349C1">
        <w:rPr>
          <w:rFonts w:ascii="LindeDaxOffice Medium" w:hAnsi="LindeDaxOffice Medium"/>
        </w:rPr>
        <w:t>.</w:t>
      </w:r>
    </w:p>
    <w:p w14:paraId="06838144" w14:textId="77777777" w:rsidR="00531C82" w:rsidRPr="00A1617F" w:rsidRDefault="00531C82" w:rsidP="00531C82">
      <w:pPr>
        <w:rPr>
          <w:rFonts w:ascii="LindeDaxOffice Medium" w:hAnsi="LindeDaxOffice Medium"/>
        </w:rPr>
      </w:pPr>
      <w:r>
        <w:rPr>
          <w:rFonts w:ascii="LindeDaxOffice Medium" w:hAnsi="LindeDaxOffice Medium"/>
        </w:rPr>
        <w:t>Em casos de emergências l</w:t>
      </w:r>
      <w:r w:rsidRPr="00E349C1">
        <w:rPr>
          <w:rFonts w:ascii="LindeDaxOffice Medium" w:hAnsi="LindeDaxOffice Medium"/>
        </w:rPr>
        <w:t>igue para 0800 709 9003</w:t>
      </w:r>
      <w:r>
        <w:rPr>
          <w:rFonts w:ascii="LindeDaxOffice Medium" w:hAnsi="LindeDaxOffice Medium"/>
        </w:rPr>
        <w:t>.</w:t>
      </w:r>
    </w:p>
    <w:p w14:paraId="78A0124B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B3A8C62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D4EDD9A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2F7FA065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7D567E1D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4821D9AB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3409CF21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1BA88697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63B13C9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9EE81FD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77152B85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591D038" w14:textId="77777777" w:rsidR="00EA0868" w:rsidRPr="00B31FCA" w:rsidRDefault="00EA0868" w:rsidP="00EA0868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B31FCA">
        <w:rPr>
          <w:rFonts w:ascii="LindeDaxOffice Medium" w:hAnsi="LindeDaxOffice Medium"/>
          <w:b/>
          <w:caps/>
        </w:rPr>
        <w:lastRenderedPageBreak/>
        <w:t>Esta página não deve ser impressa, é apenas para controle do histórico de versões.</w:t>
      </w:r>
    </w:p>
    <w:p w14:paraId="55EDD992" w14:textId="77777777" w:rsidR="00EA0868" w:rsidRPr="00B31FCA" w:rsidRDefault="00EA0868" w:rsidP="00EA0868">
      <w:pPr>
        <w:tabs>
          <w:tab w:val="left" w:pos="4287"/>
        </w:tabs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B31FCA">
        <w:rPr>
          <w:rFonts w:ascii="LindeDaxOffice Medium" w:hAnsi="LindeDaxOffice Medium"/>
          <w:b/>
          <w:caps/>
        </w:rPr>
        <w:tab/>
      </w:r>
    </w:p>
    <w:p w14:paraId="20C09F17" w14:textId="77777777" w:rsidR="00EA0868" w:rsidRPr="00B31FCA" w:rsidRDefault="00EA0868" w:rsidP="00EA0868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B31FCA">
        <w:rPr>
          <w:rFonts w:ascii="LindeDaxOffice Medium" w:hAnsi="LindeDaxOffice Medium"/>
          <w:b/>
          <w:caps/>
        </w:rPr>
        <w:t>Histórico de Versões</w:t>
      </w:r>
    </w:p>
    <w:p w14:paraId="18A40229" w14:textId="77777777" w:rsidR="00EA0868" w:rsidRPr="00B31FCA" w:rsidRDefault="00EA0868" w:rsidP="00EA0868">
      <w:pPr>
        <w:autoSpaceDE w:val="0"/>
        <w:autoSpaceDN w:val="0"/>
        <w:adjustRightInd w:val="0"/>
        <w:jc w:val="both"/>
        <w:rPr>
          <w:rFonts w:ascii="LindeDaxOffice Medium" w:hAnsi="LindeDaxOffice Medium"/>
        </w:rPr>
      </w:pPr>
    </w:p>
    <w:tbl>
      <w:tblPr>
        <w:tblW w:w="97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353"/>
        <w:gridCol w:w="6391"/>
      </w:tblGrid>
      <w:tr w:rsidR="00D60DCF" w:rsidRPr="00B31FCA" w14:paraId="6E4F724F" w14:textId="77777777" w:rsidTr="003F08B2">
        <w:trPr>
          <w:trHeight w:val="256"/>
        </w:trPr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66F39956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B31FCA">
              <w:rPr>
                <w:rFonts w:ascii="LindeDaxOffice Medium" w:hAnsi="LindeDaxOffice Medium"/>
                <w:b/>
                <w:bCs/>
              </w:rPr>
              <w:t xml:space="preserve">Revisão 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4E6C28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B31FCA">
              <w:rPr>
                <w:rFonts w:ascii="LindeDaxOffice Medium" w:hAnsi="LindeDaxOffice Medium"/>
                <w:b/>
                <w:bCs/>
              </w:rPr>
              <w:t>Data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1D98144C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B31FCA">
              <w:rPr>
                <w:rFonts w:ascii="LindeDaxOffice Medium" w:hAnsi="LindeDaxOffice Medium"/>
                <w:b/>
                <w:bCs/>
              </w:rPr>
              <w:t>Descrição das Alterações</w:t>
            </w:r>
          </w:p>
        </w:tc>
      </w:tr>
      <w:tr w:rsidR="00D60DCF" w:rsidRPr="00B31FCA" w14:paraId="214B31FF" w14:textId="77777777" w:rsidTr="003F08B2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78E14492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5108940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12/06/2026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166E51F7" w14:textId="493D32E5" w:rsidR="00EA0868" w:rsidRPr="00B31FCA" w:rsidRDefault="00BB6130" w:rsidP="003F08B2">
            <w:pPr>
              <w:spacing w:after="0"/>
              <w:jc w:val="both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Inclusão do documento no PGI. Inclusão do item Perigo. Atualização das capacidades dos cilindros, dos dados da</w:t>
            </w:r>
            <w:r w:rsidR="00A6149E">
              <w:rPr>
                <w:rFonts w:ascii="LindeDaxOffice Medium" w:hAnsi="LindeDaxOffice Medium"/>
                <w:color w:val="000000"/>
                <w:szCs w:val="20"/>
              </w:rPr>
              <w:t>s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 empresa</w:t>
            </w:r>
            <w:r w:rsidR="00A6149E">
              <w:rPr>
                <w:rFonts w:ascii="LindeDaxOffice Medium" w:hAnsi="LindeDaxOffice Medium"/>
                <w:color w:val="000000"/>
                <w:szCs w:val="20"/>
              </w:rPr>
              <w:t>s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 notificadora</w:t>
            </w:r>
            <w:r w:rsidR="00B92701">
              <w:rPr>
                <w:rFonts w:ascii="LindeDaxOffice Medium" w:hAnsi="LindeDaxOffice Medium"/>
                <w:color w:val="000000"/>
                <w:szCs w:val="20"/>
              </w:rPr>
              <w:t xml:space="preserve"> e envasadora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. Reorganização na ordem dos itens conforme ordem do Anexo I da RDC 870/2024. Não houve alteração do conteúdo das demais informações que continuam conforme </w:t>
            </w:r>
            <w:r w:rsidR="002E7B93" w:rsidRPr="00B31FCA">
              <w:rPr>
                <w:rFonts w:ascii="LindeDaxOffice Medium" w:hAnsi="LindeDaxOffice Medium"/>
              </w:rPr>
              <w:t>CD-29043 Rev 3 – 02/12/2022</w:t>
            </w:r>
            <w:r w:rsidR="00EA0868" w:rsidRPr="00B31FCA">
              <w:rPr>
                <w:rFonts w:ascii="LindeDaxOffice Medium" w:hAnsi="LindeDaxOffice Medium"/>
              </w:rPr>
              <w:t>.</w:t>
            </w:r>
          </w:p>
        </w:tc>
      </w:tr>
      <w:tr w:rsidR="00D60DCF" w:rsidRPr="00B31FCA" w14:paraId="79097CDA" w14:textId="77777777" w:rsidTr="003F08B2">
        <w:trPr>
          <w:trHeight w:val="819"/>
        </w:trPr>
        <w:tc>
          <w:tcPr>
            <w:tcW w:w="2035" w:type="dxa"/>
            <w:shd w:val="clear" w:color="auto" w:fill="auto"/>
            <w:noWrap/>
            <w:vAlign w:val="center"/>
          </w:tcPr>
          <w:p w14:paraId="5CC9BF21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2B6375F" w14:textId="7AEFB0A0" w:rsidR="00EA0868" w:rsidRPr="00B31FCA" w:rsidRDefault="002E7B93" w:rsidP="003F08B2">
            <w:pPr>
              <w:jc w:val="center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25</w:t>
            </w:r>
            <w:r w:rsidR="00EA0868" w:rsidRPr="00B31FCA">
              <w:rPr>
                <w:rFonts w:ascii="LindeDaxOffice Medium" w:hAnsi="LindeDaxOffice Medium"/>
              </w:rPr>
              <w:t>/02/2026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6376FDF1" w14:textId="77777777" w:rsidR="00EA0868" w:rsidRPr="00B31FCA" w:rsidRDefault="00EA0868" w:rsidP="003F08B2">
            <w:pPr>
              <w:spacing w:after="0"/>
              <w:jc w:val="both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Incluído histórico de versões.</w:t>
            </w:r>
          </w:p>
          <w:p w14:paraId="66F8FCDC" w14:textId="421B2096" w:rsidR="00EA0868" w:rsidRPr="00B31FCA" w:rsidRDefault="00EA0868" w:rsidP="003F08B2">
            <w:pPr>
              <w:jc w:val="both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 xml:space="preserve">Harmonização ao </w:t>
            </w:r>
            <w:r w:rsidR="002E7B93" w:rsidRPr="00B31FCA">
              <w:rPr>
                <w:rFonts w:ascii="LindeDaxOffice Medium" w:hAnsi="LindeDaxOffice Medium"/>
              </w:rPr>
              <w:t>CD-29043 Rev 3 – 02/12/2022</w:t>
            </w:r>
            <w:r w:rsidRPr="00B31FCA">
              <w:rPr>
                <w:rFonts w:ascii="LindeDaxOffice Medium" w:hAnsi="LindeDaxOffice Medium"/>
              </w:rPr>
              <w:t>, à RDC 870/2024 e à IN 301/2024.</w:t>
            </w:r>
          </w:p>
        </w:tc>
      </w:tr>
    </w:tbl>
    <w:p w14:paraId="7C07BDD7" w14:textId="77777777" w:rsidR="00EA0868" w:rsidRPr="00B31FCA" w:rsidRDefault="00EA0868" w:rsidP="00EA0868">
      <w:pPr>
        <w:rPr>
          <w:rFonts w:ascii="LindeDaxOffice Medium" w:hAnsi="LindeDaxOffice Medium"/>
        </w:rPr>
      </w:pPr>
    </w:p>
    <w:p w14:paraId="2EED1A71" w14:textId="77777777" w:rsidR="00A14C85" w:rsidRPr="00B31FCA" w:rsidRDefault="00A14C85" w:rsidP="009003EA">
      <w:pPr>
        <w:rPr>
          <w:rFonts w:ascii="LindeDaxOffice Medium" w:hAnsi="LindeDaxOffice Medium"/>
        </w:rPr>
      </w:pPr>
    </w:p>
    <w:sectPr w:rsidR="00A14C85" w:rsidRPr="00B31FCA" w:rsidSect="004B61F7">
      <w:headerReference w:type="default" r:id="rId10"/>
      <w:footerReference w:type="default" r:id="rId11"/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A332" w14:textId="77777777" w:rsidR="00376191" w:rsidRDefault="00376191" w:rsidP="00376191">
      <w:pPr>
        <w:spacing w:after="0" w:line="240" w:lineRule="auto"/>
      </w:pPr>
      <w:r>
        <w:separator/>
      </w:r>
    </w:p>
  </w:endnote>
  <w:endnote w:type="continuationSeparator" w:id="0">
    <w:p w14:paraId="6F2E0348" w14:textId="77777777" w:rsidR="00376191" w:rsidRDefault="00376191" w:rsidP="0037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4800" w14:textId="3C7FE984" w:rsidR="00C40143" w:rsidRPr="00564AA5" w:rsidRDefault="00C40143" w:rsidP="00C40143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>wmpa03601 Form 12</w:t>
    </w:r>
    <w:r>
      <w:rPr>
        <w:rFonts w:ascii="LindeDaxOffice Medium" w:hAnsi="LindeDaxOffice Medium"/>
        <w:sz w:val="18"/>
        <w:szCs w:val="18"/>
      </w:rPr>
      <w:t>6</w:t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  <w:t xml:space="preserve">Pág. </w:t>
    </w:r>
    <w:r w:rsidRPr="000D516F">
      <w:rPr>
        <w:rFonts w:ascii="LindeDaxOffice Medium" w:hAnsi="LindeDaxOffice Medium"/>
        <w:sz w:val="18"/>
        <w:szCs w:val="18"/>
      </w:rPr>
      <w:fldChar w:fldCharType="begin"/>
    </w:r>
    <w:r w:rsidRPr="000D516F">
      <w:rPr>
        <w:rFonts w:ascii="LindeDaxOffice Medium" w:hAnsi="LindeDaxOffice Medium"/>
        <w:sz w:val="18"/>
        <w:szCs w:val="18"/>
      </w:rPr>
      <w:instrText xml:space="preserve"> PAGE   \* MERGEFORMAT </w:instrText>
    </w:r>
    <w:r w:rsidRPr="000D516F">
      <w:rPr>
        <w:rFonts w:ascii="LindeDaxOffice Medium" w:hAnsi="LindeDaxOffice Medium"/>
        <w:sz w:val="18"/>
        <w:szCs w:val="18"/>
      </w:rPr>
      <w:fldChar w:fldCharType="separate"/>
    </w:r>
    <w:r>
      <w:rPr>
        <w:rFonts w:ascii="LindeDaxOffice Medium" w:hAnsi="LindeDaxOffice Medium"/>
        <w:sz w:val="18"/>
        <w:szCs w:val="18"/>
      </w:rPr>
      <w:t>3</w:t>
    </w:r>
    <w:r w:rsidRPr="000D516F">
      <w:rPr>
        <w:rFonts w:ascii="LindeDaxOffice Medium" w:hAnsi="LindeDaxOffice Medium"/>
        <w:noProof/>
        <w:sz w:val="18"/>
        <w:szCs w:val="18"/>
      </w:rPr>
      <w:fldChar w:fldCharType="end"/>
    </w:r>
    <w:r>
      <w:rPr>
        <w:rFonts w:ascii="LindeDaxOffice Medium" w:hAnsi="LindeDaxOffice Medium"/>
        <w:noProof/>
        <w:sz w:val="18"/>
        <w:szCs w:val="18"/>
      </w:rPr>
      <w:t>/</w:t>
    </w:r>
    <w:r w:rsidR="009E65DF">
      <w:rPr>
        <w:rFonts w:ascii="LindeDaxOffice Medium" w:hAnsi="LindeDaxOffice Medium"/>
        <w:noProof/>
        <w:sz w:val="18"/>
        <w:szCs w:val="18"/>
      </w:rPr>
      <w:t>2</w:t>
    </w:r>
  </w:p>
  <w:p w14:paraId="0ABAF5F8" w14:textId="401C6F86" w:rsidR="00C40143" w:rsidRPr="00C40143" w:rsidRDefault="00A17DB6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 xml:space="preserve">Ficha Técnica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Texto do Rótulo – Folheto Informativo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 w:rsidR="00AF5D57">
      <w:rPr>
        <w:rFonts w:ascii="LindeDaxOffice Medium" w:hAnsi="LindeDaxOffice Medium"/>
        <w:sz w:val="18"/>
        <w:szCs w:val="18"/>
      </w:rPr>
      <w:t>Hélio</w:t>
    </w:r>
    <w:r w:rsidR="00C40143" w:rsidRPr="00190E61">
      <w:rPr>
        <w:rFonts w:ascii="LindeDaxOffice Medium" w:hAnsi="LindeDaxOffice Medium"/>
        <w:sz w:val="18"/>
        <w:szCs w:val="18"/>
      </w:rPr>
      <w:t xml:space="preserve"> </w:t>
    </w:r>
    <w:r w:rsidR="00C40143">
      <w:rPr>
        <w:rFonts w:ascii="LindeDaxOffice Medium" w:hAnsi="LindeDaxOffice Medium"/>
        <w:sz w:val="18"/>
        <w:szCs w:val="18"/>
      </w:rPr>
      <w:t>+</w:t>
    </w:r>
    <w:r w:rsidR="00C40143" w:rsidRPr="00190E61">
      <w:rPr>
        <w:rFonts w:ascii="LindeDaxOffice Medium" w:hAnsi="LindeDaxOffice Medium"/>
        <w:sz w:val="18"/>
        <w:szCs w:val="18"/>
      </w:rPr>
      <w:t xml:space="preserve"> </w:t>
    </w:r>
    <w:r w:rsidR="00AF5D57">
      <w:rPr>
        <w:rFonts w:ascii="LindeDaxOffice Medium" w:hAnsi="LindeDaxOffice Medium"/>
        <w:sz w:val="18"/>
        <w:szCs w:val="18"/>
      </w:rPr>
      <w:t>Oxigênio</w:t>
    </w:r>
    <w:r w:rsidR="00C40143" w:rsidRPr="00190E61">
      <w:rPr>
        <w:rFonts w:ascii="LindeDaxOffice Medium" w:hAnsi="LindeDaxOffice Medium"/>
        <w:sz w:val="18"/>
        <w:szCs w:val="18"/>
      </w:rPr>
      <w:t xml:space="preserve"> Medicinal</w:t>
    </w:r>
    <w:r w:rsidR="00C40143">
      <w:rPr>
        <w:rFonts w:ascii="LindeDaxOffice Medium" w:hAnsi="LindeDaxOffice Medium"/>
        <w:sz w:val="18"/>
        <w:szCs w:val="18"/>
      </w:rPr>
      <w:t xml:space="preserve"> </w:t>
    </w:r>
    <w:r w:rsidR="00AF5D57">
      <w:rPr>
        <w:rFonts w:ascii="LindeDaxOffice Medium" w:hAnsi="LindeDaxOffice Medium"/>
        <w:sz w:val="18"/>
        <w:szCs w:val="18"/>
      </w:rPr>
      <w:t>-</w:t>
    </w:r>
    <w:r w:rsidR="00C40143">
      <w:rPr>
        <w:rFonts w:ascii="LindeDaxOffice Medium" w:hAnsi="LindeDaxOffice Medium"/>
        <w:sz w:val="18"/>
        <w:szCs w:val="18"/>
      </w:rPr>
      <w:t xml:space="preserve"> </w:t>
    </w:r>
    <w:r w:rsidR="00AF5D57">
      <w:rPr>
        <w:rFonts w:ascii="LindeDaxOffice Medium" w:hAnsi="LindeDaxOffice Medium"/>
        <w:sz w:val="18"/>
        <w:szCs w:val="18"/>
      </w:rPr>
      <w:t>Heliox 79/21</w:t>
    </w:r>
    <w:r w:rsidR="00C40143" w:rsidRPr="00564AA5">
      <w:rPr>
        <w:rFonts w:ascii="LindeDaxOffice Medium" w:hAnsi="LindeDaxOffice Medium"/>
        <w:sz w:val="18"/>
        <w:szCs w:val="18"/>
      </w:rPr>
      <w:t xml:space="preserve"> - Rev 0</w:t>
    </w:r>
    <w:r w:rsidR="00C40143">
      <w:rPr>
        <w:rFonts w:ascii="LindeDaxOffice Medium" w:hAnsi="LindeDaxOffice Medium"/>
        <w:sz w:val="18"/>
        <w:szCs w:val="18"/>
      </w:rPr>
      <w:t>2</w:t>
    </w:r>
    <w:r w:rsidR="00C40143" w:rsidRPr="00564AA5">
      <w:rPr>
        <w:rFonts w:ascii="LindeDaxOffice Medium" w:hAnsi="LindeDaxOffice Medium"/>
        <w:sz w:val="18"/>
        <w:szCs w:val="18"/>
      </w:rPr>
      <w:t xml:space="preserve"> - 0</w:t>
    </w:r>
    <w:r w:rsidR="00C40143">
      <w:rPr>
        <w:rFonts w:ascii="LindeDaxOffice Medium" w:hAnsi="LindeDaxOffice Medium"/>
        <w:sz w:val="18"/>
        <w:szCs w:val="18"/>
      </w:rPr>
      <w:t>6</w:t>
    </w:r>
    <w:r w:rsidR="00C40143" w:rsidRPr="00564AA5">
      <w:rPr>
        <w:rFonts w:ascii="LindeDaxOffice Medium" w:hAnsi="LindeDaxOffice Medium"/>
        <w:sz w:val="18"/>
        <w:szCs w:val="18"/>
      </w:rPr>
      <w:t>/202</w:t>
    </w:r>
    <w:r w:rsidR="00C40143">
      <w:rPr>
        <w:rFonts w:ascii="LindeDaxOffice Medium" w:hAnsi="LindeDaxOffice Medium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64FE" w14:textId="77777777" w:rsidR="00376191" w:rsidRDefault="00376191" w:rsidP="00376191">
      <w:pPr>
        <w:spacing w:after="0" w:line="240" w:lineRule="auto"/>
      </w:pPr>
      <w:r>
        <w:separator/>
      </w:r>
    </w:p>
  </w:footnote>
  <w:footnote w:type="continuationSeparator" w:id="0">
    <w:p w14:paraId="1C1F05F3" w14:textId="77777777" w:rsidR="00376191" w:rsidRDefault="00376191" w:rsidP="0037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94A6" w14:textId="37CF2A1D" w:rsidR="00376191" w:rsidRPr="00376191" w:rsidRDefault="00376191" w:rsidP="00376191">
    <w:pPr>
      <w:pStyle w:val="Header"/>
    </w:pPr>
    <w:r w:rsidRPr="00581C1F">
      <w:rPr>
        <w:noProof/>
      </w:rPr>
      <w:drawing>
        <wp:anchor distT="0" distB="0" distL="114300" distR="114300" simplePos="0" relativeHeight="251659264" behindDoc="0" locked="0" layoutInCell="1" allowOverlap="1" wp14:anchorId="57061AF1" wp14:editId="20446858">
          <wp:simplePos x="0" y="0"/>
          <wp:positionH relativeFrom="column">
            <wp:posOffset>4926124</wp:posOffset>
          </wp:positionH>
          <wp:positionV relativeFrom="paragraph">
            <wp:posOffset>-200660</wp:posOffset>
          </wp:positionV>
          <wp:extent cx="1618615" cy="280670"/>
          <wp:effectExtent l="0" t="0" r="635" b="5080"/>
          <wp:wrapTopAndBottom/>
          <wp:docPr id="1287929430" name="Picture 1287929430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47195" name="Picture 882347195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pOdWfMX72M4BHOO2KcYhn8NEsHTubWxyZH7yVCmLZitgCmyHtf8afqaqOXtWJFQyuda0HNJ4WXZ98vP3y0Uiw==" w:salt="GwbClyWilIa2Ym+mFKwgF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C8"/>
    <w:rsid w:val="00011C53"/>
    <w:rsid w:val="000547B0"/>
    <w:rsid w:val="000574B7"/>
    <w:rsid w:val="0006607E"/>
    <w:rsid w:val="000872AB"/>
    <w:rsid w:val="000B17E1"/>
    <w:rsid w:val="000C200A"/>
    <w:rsid w:val="000C7713"/>
    <w:rsid w:val="000E5892"/>
    <w:rsid w:val="000F1393"/>
    <w:rsid w:val="00104926"/>
    <w:rsid w:val="00106D70"/>
    <w:rsid w:val="001105B6"/>
    <w:rsid w:val="001115C6"/>
    <w:rsid w:val="0011632E"/>
    <w:rsid w:val="00117470"/>
    <w:rsid w:val="001224F9"/>
    <w:rsid w:val="001323E8"/>
    <w:rsid w:val="001362B1"/>
    <w:rsid w:val="00144AC4"/>
    <w:rsid w:val="00145589"/>
    <w:rsid w:val="00173367"/>
    <w:rsid w:val="001763EC"/>
    <w:rsid w:val="00182EC4"/>
    <w:rsid w:val="001A1DFD"/>
    <w:rsid w:val="001B2733"/>
    <w:rsid w:val="001B317A"/>
    <w:rsid w:val="001C4474"/>
    <w:rsid w:val="001D3778"/>
    <w:rsid w:val="001F3D5D"/>
    <w:rsid w:val="001F6EE4"/>
    <w:rsid w:val="00217BB7"/>
    <w:rsid w:val="0022471E"/>
    <w:rsid w:val="0023001A"/>
    <w:rsid w:val="0023320D"/>
    <w:rsid w:val="00242C22"/>
    <w:rsid w:val="00274D91"/>
    <w:rsid w:val="00283C5E"/>
    <w:rsid w:val="00287E67"/>
    <w:rsid w:val="002E7B93"/>
    <w:rsid w:val="002F3C07"/>
    <w:rsid w:val="002F6115"/>
    <w:rsid w:val="002F6D89"/>
    <w:rsid w:val="002F7C43"/>
    <w:rsid w:val="0030339E"/>
    <w:rsid w:val="00333613"/>
    <w:rsid w:val="00334712"/>
    <w:rsid w:val="003411A1"/>
    <w:rsid w:val="00345506"/>
    <w:rsid w:val="00366A9F"/>
    <w:rsid w:val="00376191"/>
    <w:rsid w:val="00383EB7"/>
    <w:rsid w:val="003A4381"/>
    <w:rsid w:val="003B6A95"/>
    <w:rsid w:val="004224CF"/>
    <w:rsid w:val="004254C8"/>
    <w:rsid w:val="0042566C"/>
    <w:rsid w:val="00435167"/>
    <w:rsid w:val="004452D3"/>
    <w:rsid w:val="004537A6"/>
    <w:rsid w:val="004564E2"/>
    <w:rsid w:val="004806A8"/>
    <w:rsid w:val="00485BE6"/>
    <w:rsid w:val="004947D0"/>
    <w:rsid w:val="004A36F9"/>
    <w:rsid w:val="004B61F7"/>
    <w:rsid w:val="004B7BAA"/>
    <w:rsid w:val="004C6C11"/>
    <w:rsid w:val="004D6B66"/>
    <w:rsid w:val="004E0493"/>
    <w:rsid w:val="004E1BCC"/>
    <w:rsid w:val="004F4B44"/>
    <w:rsid w:val="004F5BA2"/>
    <w:rsid w:val="00530C65"/>
    <w:rsid w:val="00531C82"/>
    <w:rsid w:val="0054054C"/>
    <w:rsid w:val="005530B8"/>
    <w:rsid w:val="005716DF"/>
    <w:rsid w:val="005A42B5"/>
    <w:rsid w:val="005A74BC"/>
    <w:rsid w:val="00601DA2"/>
    <w:rsid w:val="0060693F"/>
    <w:rsid w:val="00615EEB"/>
    <w:rsid w:val="00621043"/>
    <w:rsid w:val="00622CA6"/>
    <w:rsid w:val="00625FBF"/>
    <w:rsid w:val="0063475F"/>
    <w:rsid w:val="00640679"/>
    <w:rsid w:val="00641B25"/>
    <w:rsid w:val="00653330"/>
    <w:rsid w:val="00664632"/>
    <w:rsid w:val="00680E54"/>
    <w:rsid w:val="006848FB"/>
    <w:rsid w:val="006939FC"/>
    <w:rsid w:val="006A3739"/>
    <w:rsid w:val="006B194C"/>
    <w:rsid w:val="006D1455"/>
    <w:rsid w:val="006D2EA2"/>
    <w:rsid w:val="006D5971"/>
    <w:rsid w:val="00700F2C"/>
    <w:rsid w:val="007142FB"/>
    <w:rsid w:val="00716F8A"/>
    <w:rsid w:val="007315A5"/>
    <w:rsid w:val="00743FE1"/>
    <w:rsid w:val="007464C8"/>
    <w:rsid w:val="007A1512"/>
    <w:rsid w:val="007B62C9"/>
    <w:rsid w:val="007C2B7B"/>
    <w:rsid w:val="007C63FC"/>
    <w:rsid w:val="007F2706"/>
    <w:rsid w:val="00805EB5"/>
    <w:rsid w:val="00814A33"/>
    <w:rsid w:val="00817C7A"/>
    <w:rsid w:val="0082570C"/>
    <w:rsid w:val="00843FD7"/>
    <w:rsid w:val="00862C29"/>
    <w:rsid w:val="008867A9"/>
    <w:rsid w:val="00887678"/>
    <w:rsid w:val="008878A0"/>
    <w:rsid w:val="0089084E"/>
    <w:rsid w:val="00891799"/>
    <w:rsid w:val="00895929"/>
    <w:rsid w:val="008B1E97"/>
    <w:rsid w:val="008D0914"/>
    <w:rsid w:val="008E0A8D"/>
    <w:rsid w:val="008E1D1D"/>
    <w:rsid w:val="008F177B"/>
    <w:rsid w:val="008F5DBC"/>
    <w:rsid w:val="009003EA"/>
    <w:rsid w:val="009203F8"/>
    <w:rsid w:val="009566F8"/>
    <w:rsid w:val="00960E3B"/>
    <w:rsid w:val="00961BE8"/>
    <w:rsid w:val="0096291B"/>
    <w:rsid w:val="0097352B"/>
    <w:rsid w:val="00977EE9"/>
    <w:rsid w:val="009827E8"/>
    <w:rsid w:val="0098411D"/>
    <w:rsid w:val="00991584"/>
    <w:rsid w:val="009947BE"/>
    <w:rsid w:val="009A3880"/>
    <w:rsid w:val="009C7DEF"/>
    <w:rsid w:val="009D2075"/>
    <w:rsid w:val="009D76AA"/>
    <w:rsid w:val="009E5D2E"/>
    <w:rsid w:val="009E65DF"/>
    <w:rsid w:val="009F033E"/>
    <w:rsid w:val="009F65F3"/>
    <w:rsid w:val="00A02027"/>
    <w:rsid w:val="00A05370"/>
    <w:rsid w:val="00A11033"/>
    <w:rsid w:val="00A14C85"/>
    <w:rsid w:val="00A17DB6"/>
    <w:rsid w:val="00A35D36"/>
    <w:rsid w:val="00A525AE"/>
    <w:rsid w:val="00A6149E"/>
    <w:rsid w:val="00A83993"/>
    <w:rsid w:val="00A93674"/>
    <w:rsid w:val="00AA5DC6"/>
    <w:rsid w:val="00AB46FC"/>
    <w:rsid w:val="00AC7EF8"/>
    <w:rsid w:val="00AE51C1"/>
    <w:rsid w:val="00AF1720"/>
    <w:rsid w:val="00AF2760"/>
    <w:rsid w:val="00AF5D57"/>
    <w:rsid w:val="00B00042"/>
    <w:rsid w:val="00B00C51"/>
    <w:rsid w:val="00B06ADD"/>
    <w:rsid w:val="00B155EB"/>
    <w:rsid w:val="00B166E9"/>
    <w:rsid w:val="00B31FCA"/>
    <w:rsid w:val="00B325E9"/>
    <w:rsid w:val="00B37763"/>
    <w:rsid w:val="00B42994"/>
    <w:rsid w:val="00B43819"/>
    <w:rsid w:val="00B67A25"/>
    <w:rsid w:val="00B67B82"/>
    <w:rsid w:val="00B87F23"/>
    <w:rsid w:val="00B92701"/>
    <w:rsid w:val="00BA4CC0"/>
    <w:rsid w:val="00BA576E"/>
    <w:rsid w:val="00BB6130"/>
    <w:rsid w:val="00BD1780"/>
    <w:rsid w:val="00BF3227"/>
    <w:rsid w:val="00BF6A67"/>
    <w:rsid w:val="00C04EF6"/>
    <w:rsid w:val="00C05E36"/>
    <w:rsid w:val="00C07151"/>
    <w:rsid w:val="00C118E9"/>
    <w:rsid w:val="00C32607"/>
    <w:rsid w:val="00C40143"/>
    <w:rsid w:val="00C62C61"/>
    <w:rsid w:val="00C724A9"/>
    <w:rsid w:val="00C85958"/>
    <w:rsid w:val="00CA2162"/>
    <w:rsid w:val="00CA2CE8"/>
    <w:rsid w:val="00CA683D"/>
    <w:rsid w:val="00CC0DBF"/>
    <w:rsid w:val="00D11C6C"/>
    <w:rsid w:val="00D247A0"/>
    <w:rsid w:val="00D32F3F"/>
    <w:rsid w:val="00D36D14"/>
    <w:rsid w:val="00D567E6"/>
    <w:rsid w:val="00D60DCF"/>
    <w:rsid w:val="00D75C54"/>
    <w:rsid w:val="00D82AAF"/>
    <w:rsid w:val="00D96F5D"/>
    <w:rsid w:val="00DC1E59"/>
    <w:rsid w:val="00DD17FF"/>
    <w:rsid w:val="00DF7921"/>
    <w:rsid w:val="00E13F13"/>
    <w:rsid w:val="00E524E9"/>
    <w:rsid w:val="00E60FA9"/>
    <w:rsid w:val="00E61908"/>
    <w:rsid w:val="00E838EA"/>
    <w:rsid w:val="00E94F65"/>
    <w:rsid w:val="00EA0868"/>
    <w:rsid w:val="00EE6BDE"/>
    <w:rsid w:val="00F11058"/>
    <w:rsid w:val="00F11E75"/>
    <w:rsid w:val="00F32A8F"/>
    <w:rsid w:val="00F44395"/>
    <w:rsid w:val="00F444C8"/>
    <w:rsid w:val="00F4773C"/>
    <w:rsid w:val="00F60214"/>
    <w:rsid w:val="00F71ED8"/>
    <w:rsid w:val="00F8508C"/>
    <w:rsid w:val="00F86BC2"/>
    <w:rsid w:val="00F947AF"/>
    <w:rsid w:val="00FB72EC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008CBA"/>
  <w15:chartTrackingRefBased/>
  <w15:docId w15:val="{A73D7A61-3200-4811-B3CA-3D462CC2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3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81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7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91"/>
  </w:style>
  <w:style w:type="paragraph" w:styleId="Footer">
    <w:name w:val="footer"/>
    <w:basedOn w:val="Normal"/>
    <w:link w:val="FooterChar"/>
    <w:uiPriority w:val="99"/>
    <w:unhideWhenUsed/>
    <w:rsid w:val="00376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10059</Normas_x0020_Aplic_x00e1_veis>
    <Revis_x00e3_o xmlns="4213deca-91d5-4863-a86b-37f9ba5d141a">02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4F5D4-EE28-434C-8C5A-72EC0EB695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25A57F-CF3D-4301-B685-F6D42625C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918E-820A-41E1-AFA3-9CE8F2EDEC85}">
  <ds:schemaRefs>
    <ds:schemaRef ds:uri="http://schemas.microsoft.com/office/infopath/2007/PartnerControls"/>
    <ds:schemaRef ds:uri="4213deca-91d5-4863-a86b-37f9ba5d141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D4F2A50-8398-4A12-A05F-9DE4898D8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5138</Characters>
  <Application>Microsoft Office Word</Application>
  <DocSecurity>12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– Texto do Rótulo – Folheto Informativo – Hélio + Oxigênio Medicinal - Heliox 79/21</dc:title>
  <dc:subject/>
  <dc:creator>Thiago Martins</dc:creator>
  <cp:keywords/>
  <dc:description/>
  <cp:lastModifiedBy>Julia Costa</cp:lastModifiedBy>
  <cp:revision>2</cp:revision>
  <dcterms:created xsi:type="dcterms:W3CDTF">2026-06-15T14:35:00Z</dcterms:created>
  <dcterms:modified xsi:type="dcterms:W3CDTF">2026-06-15T14:35:00Z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