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839F" w14:textId="32E79C34" w:rsidR="00687F18" w:rsidRPr="00A86AB7" w:rsidRDefault="00CC4994" w:rsidP="00687F18">
      <w:pPr>
        <w:rPr>
          <w:rFonts w:ascii="LindeDaxOffice Medium" w:hAnsi="LindeDaxOffice Medium"/>
          <w:b/>
          <w:bCs/>
        </w:rPr>
      </w:pPr>
      <w:r w:rsidRPr="00233E4A">
        <w:rPr>
          <w:rFonts w:ascii="LindeDaxOffice Medium" w:hAnsi="LindeDaxOffice Medium"/>
          <w:b/>
          <w:bCs/>
        </w:rPr>
        <w:t xml:space="preserve">Ficha Técnica – </w:t>
      </w:r>
      <w:r>
        <w:rPr>
          <w:rFonts w:ascii="LindeDaxOffice Medium" w:hAnsi="LindeDaxOffice Medium"/>
          <w:b/>
          <w:bCs/>
        </w:rPr>
        <w:t xml:space="preserve">Texto do </w:t>
      </w:r>
      <w:r w:rsidRPr="00233E4A">
        <w:rPr>
          <w:rFonts w:ascii="LindeDaxOffice Medium" w:hAnsi="LindeDaxOffice Medium"/>
          <w:b/>
          <w:bCs/>
        </w:rPr>
        <w:t>Rótulo – Folheto Informativo</w:t>
      </w:r>
    </w:p>
    <w:p w14:paraId="7011075C" w14:textId="77777777" w:rsidR="008133A1" w:rsidRDefault="00E84B86" w:rsidP="00F122B2">
      <w:pPr>
        <w:jc w:val="both"/>
        <w:rPr>
          <w:rFonts w:ascii="LindeDaxOffice Medium" w:hAnsi="LindeDaxOffice Medium"/>
          <w:b/>
          <w:bCs/>
        </w:rPr>
      </w:pPr>
      <w:r w:rsidRPr="00F122B2">
        <w:rPr>
          <w:rFonts w:ascii="LindeDaxOffice Medium" w:hAnsi="LindeDaxOffice Medium"/>
          <w:b/>
          <w:bCs/>
        </w:rPr>
        <w:t>Óxido Nítrico</w:t>
      </w:r>
      <w:r w:rsidR="00B620FB" w:rsidRPr="00F122B2">
        <w:rPr>
          <w:rFonts w:ascii="LindeDaxOffice Medium" w:hAnsi="LindeDaxOffice Medium"/>
          <w:b/>
          <w:bCs/>
        </w:rPr>
        <w:t xml:space="preserve"> (NO)</w:t>
      </w:r>
      <w:r w:rsidR="00210CCD" w:rsidRPr="00F122B2">
        <w:rPr>
          <w:rFonts w:ascii="LindeDaxOffice Medium" w:hAnsi="LindeDaxOffice Medium"/>
          <w:b/>
          <w:bCs/>
        </w:rPr>
        <w:t xml:space="preserve"> Medicinal</w:t>
      </w:r>
      <w:r w:rsidR="00AC4F87">
        <w:rPr>
          <w:rFonts w:ascii="LindeDaxOffice Medium" w:hAnsi="LindeDaxOffice Medium"/>
          <w:b/>
          <w:bCs/>
        </w:rPr>
        <w:t xml:space="preserve"> </w:t>
      </w:r>
      <w:r w:rsidR="008133A1">
        <w:rPr>
          <w:rFonts w:ascii="LindeDaxOffice Medium" w:hAnsi="LindeDaxOffice Medium"/>
          <w:b/>
          <w:bCs/>
        </w:rPr>
        <w:t xml:space="preserve">500 ppm </w:t>
      </w:r>
      <w:r w:rsidR="00AC4F87">
        <w:rPr>
          <w:rFonts w:ascii="LindeDaxOffice Medium" w:hAnsi="LindeDaxOffice Medium"/>
          <w:b/>
          <w:bCs/>
        </w:rPr>
        <w:t xml:space="preserve">+ </w:t>
      </w:r>
      <w:r w:rsidR="0032755E">
        <w:rPr>
          <w:rFonts w:ascii="LindeDaxOffice Medium" w:hAnsi="LindeDaxOffice Medium"/>
          <w:b/>
          <w:bCs/>
        </w:rPr>
        <w:t xml:space="preserve">Nitrogênio </w:t>
      </w:r>
      <w:r w:rsidR="003D5A92">
        <w:rPr>
          <w:rFonts w:ascii="LindeDaxOffice Medium" w:hAnsi="LindeDaxOffice Medium"/>
          <w:b/>
          <w:bCs/>
        </w:rPr>
        <w:t>(N</w:t>
      </w:r>
      <w:r w:rsidR="003D5A92" w:rsidRPr="003D5A92">
        <w:rPr>
          <w:rFonts w:ascii="LindeDaxOffice Medium" w:hAnsi="LindeDaxOffice Medium"/>
          <w:b/>
          <w:bCs/>
          <w:vertAlign w:val="subscript"/>
        </w:rPr>
        <w:t>2</w:t>
      </w:r>
      <w:r w:rsidR="003D5A92">
        <w:rPr>
          <w:rFonts w:ascii="LindeDaxOffice Medium" w:hAnsi="LindeDaxOffice Medium"/>
          <w:b/>
          <w:bCs/>
        </w:rPr>
        <w:t>)</w:t>
      </w:r>
      <w:r w:rsidR="004F3176">
        <w:rPr>
          <w:rFonts w:ascii="LindeDaxOffice Medium" w:hAnsi="LindeDaxOffice Medium"/>
          <w:b/>
          <w:bCs/>
        </w:rPr>
        <w:t xml:space="preserve"> Medicinal</w:t>
      </w:r>
      <w:r w:rsidR="008133A1">
        <w:rPr>
          <w:rFonts w:ascii="LindeDaxOffice Medium" w:hAnsi="LindeDaxOffice Medium"/>
          <w:b/>
          <w:bCs/>
        </w:rPr>
        <w:t xml:space="preserve"> qsp</w:t>
      </w:r>
      <w:r w:rsidR="00F122B2" w:rsidRPr="00F122B2">
        <w:rPr>
          <w:rFonts w:ascii="LindeDaxOffice Medium" w:hAnsi="LindeDaxOffice Medium"/>
          <w:b/>
          <w:bCs/>
        </w:rPr>
        <w:t>,</w:t>
      </w:r>
      <w:r w:rsidR="00FC0389">
        <w:rPr>
          <w:rFonts w:ascii="LindeDaxOffice Medium" w:hAnsi="LindeDaxOffice Medium"/>
          <w:b/>
          <w:bCs/>
        </w:rPr>
        <w:t xml:space="preserve"> Comprimido</w:t>
      </w:r>
    </w:p>
    <w:p w14:paraId="3A54B7B3" w14:textId="7B5B13BC" w:rsidR="00F122B2" w:rsidRPr="00F122B2" w:rsidRDefault="00F122B2" w:rsidP="00F122B2">
      <w:pPr>
        <w:jc w:val="both"/>
        <w:rPr>
          <w:rFonts w:ascii="LindeDaxOffice Medium" w:hAnsi="LindeDaxOffice Medium"/>
          <w:b/>
          <w:bCs/>
        </w:rPr>
      </w:pPr>
      <w:r w:rsidRPr="00F122B2">
        <w:rPr>
          <w:rFonts w:ascii="LindeDaxOffice Medium" w:hAnsi="LindeDaxOffice Medium"/>
          <w:b/>
          <w:bCs/>
        </w:rPr>
        <w:t>ONU 1956, Conexão ABNT 262-1</w:t>
      </w:r>
    </w:p>
    <w:p w14:paraId="51748890" w14:textId="1FE78065" w:rsidR="00E84B86" w:rsidRPr="007908F9" w:rsidRDefault="00D425EF" w:rsidP="00E84B86">
      <w:pPr>
        <w:jc w:val="both"/>
        <w:rPr>
          <w:rFonts w:ascii="LindeDaxOffice Medium" w:hAnsi="LindeDaxOffice Medium"/>
        </w:rPr>
      </w:pPr>
      <w:r w:rsidRPr="00D425EF">
        <w:rPr>
          <w:rFonts w:ascii="LindeDaxOffice Medium" w:hAnsi="LindeDaxOffice Medium"/>
          <w:b/>
          <w:bCs/>
        </w:rPr>
        <w:t xml:space="preserve">Nome Comercial: </w:t>
      </w:r>
      <w:r w:rsidR="00E84B86" w:rsidRPr="007908F9">
        <w:rPr>
          <w:rFonts w:ascii="LindeDaxOffice Medium" w:hAnsi="LindeDaxOffice Medium"/>
        </w:rPr>
        <w:t xml:space="preserve">Mistura </w:t>
      </w:r>
      <w:r w:rsidR="00D04225">
        <w:rPr>
          <w:rFonts w:ascii="LindeDaxOffice Medium" w:hAnsi="LindeDaxOffice Medium"/>
        </w:rPr>
        <w:t>NO 500 ppm</w:t>
      </w:r>
    </w:p>
    <w:p w14:paraId="53AE0E5E" w14:textId="77777777" w:rsidR="008854D0" w:rsidRPr="007908F9" w:rsidRDefault="008854D0" w:rsidP="00D56CDF">
      <w:pPr>
        <w:spacing w:after="0"/>
        <w:jc w:val="both"/>
        <w:rPr>
          <w:rStyle w:val="ui-provider"/>
          <w:rFonts w:ascii="LindeDaxOffice Medium" w:hAnsi="LindeDaxOffice Medium"/>
        </w:rPr>
      </w:pPr>
      <w:r w:rsidRPr="00B31FCA">
        <w:rPr>
          <w:rFonts w:ascii="LindeDaxOffice Medium" w:hAnsi="LindeDaxOffice Medium"/>
          <w:b/>
          <w:bCs/>
        </w:rPr>
        <w:t>Composição do Gás Medicinal</w:t>
      </w:r>
      <w:r w:rsidRPr="007908F9">
        <w:rPr>
          <w:rFonts w:ascii="LindeDaxOffice Medium" w:hAnsi="LindeDaxOffice Medium"/>
          <w:b/>
          <w:bCs/>
        </w:rPr>
        <w:t>:</w:t>
      </w:r>
      <w:r w:rsidRPr="007908F9">
        <w:rPr>
          <w:rFonts w:ascii="LindeDaxOffice Medium" w:hAnsi="LindeDaxOffice Medium"/>
        </w:rPr>
        <w:t xml:space="preserve"> Óxido Nítrico (NO) 500 ppm mol/mol + </w:t>
      </w:r>
      <w:r>
        <w:rPr>
          <w:rFonts w:ascii="LindeDaxOffice Medium" w:hAnsi="LindeDaxOffice Medium"/>
        </w:rPr>
        <w:t>N</w:t>
      </w:r>
      <w:r w:rsidRPr="007908F9">
        <w:rPr>
          <w:rFonts w:ascii="LindeDaxOffice Medium" w:hAnsi="LindeDaxOffice Medium"/>
        </w:rPr>
        <w:t>itrogênio (N</w:t>
      </w:r>
      <w:r w:rsidRPr="007908F9">
        <w:rPr>
          <w:rFonts w:ascii="LindeDaxOffice Medium" w:hAnsi="LindeDaxOffice Medium"/>
          <w:vertAlign w:val="subscript"/>
        </w:rPr>
        <w:t>2</w:t>
      </w:r>
      <w:r w:rsidRPr="007908F9">
        <w:rPr>
          <w:rFonts w:ascii="LindeDaxOffice Medium" w:hAnsi="LindeDaxOffice Medium"/>
        </w:rPr>
        <w:t>) balanço</w:t>
      </w:r>
      <w:r w:rsidRPr="007908F9">
        <w:rPr>
          <w:rStyle w:val="ui-provider"/>
          <w:rFonts w:ascii="LindeDaxOffice Medium" w:hAnsi="LindeDaxOffice Medium"/>
        </w:rPr>
        <w:t>.</w:t>
      </w:r>
    </w:p>
    <w:tbl>
      <w:tblPr>
        <w:tblStyle w:val="TableGrid"/>
        <w:tblpPr w:leftFromText="141" w:rightFromText="141" w:vertAnchor="text" w:horzAnchor="margin" w:tblpY="292"/>
        <w:tblOverlap w:val="never"/>
        <w:tblW w:w="0" w:type="auto"/>
        <w:tblLook w:val="04A0" w:firstRow="1" w:lastRow="0" w:firstColumn="1" w:lastColumn="0" w:noHBand="0" w:noVBand="1"/>
      </w:tblPr>
      <w:tblGrid>
        <w:gridCol w:w="2234"/>
        <w:gridCol w:w="1163"/>
      </w:tblGrid>
      <w:tr w:rsidR="0030407E" w:rsidRPr="00D56CDF" w14:paraId="1161586D" w14:textId="77777777" w:rsidTr="00F87EF3">
        <w:tc>
          <w:tcPr>
            <w:tcW w:w="2234" w:type="dxa"/>
          </w:tcPr>
          <w:p w14:paraId="7512908C" w14:textId="77777777" w:rsidR="0030407E" w:rsidRPr="00D56CDF" w:rsidRDefault="0030407E" w:rsidP="00066075">
            <w:pPr>
              <w:rPr>
                <w:rFonts w:ascii="LindeDaxOffice Medium" w:hAnsi="LindeDaxOffice Medium"/>
              </w:rPr>
            </w:pPr>
            <w:r w:rsidRPr="00D56CDF">
              <w:rPr>
                <w:rFonts w:ascii="LindeDaxOffice Medium" w:hAnsi="LindeDaxOffice Medium"/>
              </w:rPr>
              <w:t>Tipo de cilindro</w:t>
            </w:r>
          </w:p>
        </w:tc>
        <w:tc>
          <w:tcPr>
            <w:tcW w:w="1163" w:type="dxa"/>
          </w:tcPr>
          <w:p w14:paraId="644049F0" w14:textId="09AEEEB0" w:rsidR="0030407E" w:rsidRPr="00D56CDF" w:rsidRDefault="00D56CDF" w:rsidP="00066075">
            <w:pPr>
              <w:jc w:val="center"/>
              <w:rPr>
                <w:rFonts w:ascii="LindeDaxOffice Medium" w:hAnsi="LindeDaxOffice Medium"/>
              </w:rPr>
            </w:pPr>
            <w:r>
              <w:rPr>
                <w:rFonts w:ascii="LindeDaxOffice Medium" w:hAnsi="LindeDaxOffice Medium"/>
              </w:rPr>
              <w:t>ALS</w:t>
            </w:r>
          </w:p>
        </w:tc>
      </w:tr>
      <w:tr w:rsidR="0030407E" w:rsidRPr="00D56CDF" w14:paraId="5D986839" w14:textId="77777777" w:rsidTr="00F87EF3">
        <w:tc>
          <w:tcPr>
            <w:tcW w:w="2234" w:type="dxa"/>
          </w:tcPr>
          <w:p w14:paraId="5E8A1813" w14:textId="77777777" w:rsidR="0030407E" w:rsidRPr="00D56CDF" w:rsidRDefault="0030407E" w:rsidP="00066075">
            <w:pPr>
              <w:rPr>
                <w:rFonts w:ascii="LindeDaxOffice Medium" w:hAnsi="LindeDaxOffice Medium"/>
              </w:rPr>
            </w:pPr>
            <w:r w:rsidRPr="00D56CDF">
              <w:rPr>
                <w:rFonts w:ascii="LindeDaxOffice Medium" w:hAnsi="LindeDaxOffice Medium"/>
              </w:rPr>
              <w:t>Quantidade (m³)</w:t>
            </w:r>
          </w:p>
        </w:tc>
        <w:tc>
          <w:tcPr>
            <w:tcW w:w="1163" w:type="dxa"/>
          </w:tcPr>
          <w:p w14:paraId="72CA7FDE" w14:textId="6AC70344" w:rsidR="0030407E" w:rsidRPr="00D56CDF" w:rsidRDefault="00915969" w:rsidP="00066075">
            <w:pPr>
              <w:jc w:val="center"/>
              <w:rPr>
                <w:rFonts w:ascii="LindeDaxOffice Medium" w:hAnsi="LindeDaxOffice Medium"/>
              </w:rPr>
            </w:pPr>
            <w:r>
              <w:rPr>
                <w:rFonts w:ascii="LindeDaxOffice Medium" w:hAnsi="LindeDaxOffice Medium"/>
              </w:rPr>
              <w:t>4</w:t>
            </w:r>
            <w:r w:rsidR="0030407E" w:rsidRPr="00D56CDF">
              <w:rPr>
                <w:rFonts w:ascii="LindeDaxOffice Medium" w:hAnsi="LindeDaxOffice Medium"/>
              </w:rPr>
              <w:t>,</w:t>
            </w:r>
            <w:r>
              <w:rPr>
                <w:rFonts w:ascii="LindeDaxOffice Medium" w:hAnsi="LindeDaxOffice Medium"/>
              </w:rPr>
              <w:t>0</w:t>
            </w:r>
          </w:p>
        </w:tc>
      </w:tr>
    </w:tbl>
    <w:p w14:paraId="178F71EF" w14:textId="77777777" w:rsidR="0030407E" w:rsidRDefault="0030407E" w:rsidP="00C16670">
      <w:pPr>
        <w:jc w:val="both"/>
        <w:rPr>
          <w:rFonts w:ascii="LindeDaxOffice Medium" w:hAnsi="LindeDaxOffice Medium"/>
          <w:b/>
          <w:bCs/>
        </w:rPr>
      </w:pPr>
    </w:p>
    <w:p w14:paraId="37C00D4F" w14:textId="77777777" w:rsidR="0030407E" w:rsidRDefault="0030407E" w:rsidP="00C16670">
      <w:pPr>
        <w:jc w:val="both"/>
        <w:rPr>
          <w:rFonts w:ascii="LindeDaxOffice Medium" w:hAnsi="LindeDaxOffice Medium"/>
          <w:b/>
          <w:bCs/>
        </w:rPr>
      </w:pPr>
    </w:p>
    <w:p w14:paraId="5D1E8183" w14:textId="77777777" w:rsidR="0030407E" w:rsidRDefault="0030407E" w:rsidP="00D56CDF">
      <w:pPr>
        <w:spacing w:after="0"/>
        <w:jc w:val="both"/>
        <w:rPr>
          <w:rFonts w:ascii="LindeDaxOffice Medium" w:hAnsi="LindeDaxOffice Medium"/>
          <w:b/>
          <w:bCs/>
        </w:rPr>
      </w:pPr>
    </w:p>
    <w:p w14:paraId="3604EE81" w14:textId="20B6956E" w:rsidR="00C16670" w:rsidRPr="007908F9" w:rsidRDefault="00C16670" w:rsidP="00C16670">
      <w:pPr>
        <w:jc w:val="both"/>
        <w:rPr>
          <w:rFonts w:ascii="LindeDaxOffice Medium" w:hAnsi="LindeDaxOffice Medium"/>
        </w:rPr>
      </w:pPr>
      <w:r w:rsidRPr="007908F9">
        <w:rPr>
          <w:rFonts w:ascii="LindeDaxOffice Medium" w:hAnsi="LindeDaxOffice Medium"/>
          <w:b/>
          <w:bCs/>
        </w:rPr>
        <w:t>Via de Administração:</w:t>
      </w:r>
      <w:r w:rsidRPr="007908F9">
        <w:rPr>
          <w:rFonts w:ascii="LindeDaxOffice Medium" w:hAnsi="LindeDaxOffice Medium"/>
        </w:rPr>
        <w:t xml:space="preserve"> Deve-se administrar óxido nítrico (NO) ao paciente, sob orientação médica </w:t>
      </w:r>
      <w:r w:rsidRPr="007908F9">
        <w:rPr>
          <w:rFonts w:ascii="LindeDaxOffice Medium" w:hAnsi="LindeDaxOffice Medium"/>
          <w:lang w:val="pt-PT"/>
        </w:rPr>
        <w:t>somente de acordo com a prescrição</w:t>
      </w:r>
      <w:r w:rsidRPr="007908F9">
        <w:rPr>
          <w:rFonts w:ascii="LindeDaxOffice Medium" w:hAnsi="LindeDaxOffice Medium"/>
        </w:rPr>
        <w:t xml:space="preserve">, por meio de ventilação mecânica após a diluição com uma mistura de oxigênio/ar usando um sistema de entrega regulado. A administração de óxido nítrico deve ser realizado apenas após </w:t>
      </w:r>
      <w:r w:rsidRPr="007908F9">
        <w:rPr>
          <w:rFonts w:ascii="LindeDaxOffice Medium" w:hAnsi="LindeDaxOffice Medium"/>
          <w:lang w:val="pt-PT"/>
        </w:rPr>
        <w:t>treinamento adequado no uso de um sistema de administração</w:t>
      </w:r>
      <w:r w:rsidRPr="007908F9">
        <w:rPr>
          <w:rFonts w:ascii="LindeDaxOffice Medium" w:hAnsi="LindeDaxOffice Medium"/>
        </w:rPr>
        <w:t xml:space="preserve">.  Antes de iniciar a terapia, certifique-se de que a configuração do dispositivo esteja de acordo com a concentração de gás no cilindro. O sistema de administração deve fornecer uma concentração constante de NO para inalação, independentemente do ventilador. Com um ventilador neonatal de fluxo contínuo, isso pode ser obtido por meio de infusão de baixo fluxo de NO. A ventilação neonatal de fluxo intermitente pode estar associada a picos na concentração de NO, por isso deve ser </w:t>
      </w:r>
      <w:r w:rsidRPr="007908F9">
        <w:rPr>
          <w:rFonts w:ascii="LindeDaxOffice Medium" w:hAnsi="LindeDaxOffice Medium"/>
          <w:lang w:val="pt-PT"/>
        </w:rPr>
        <w:t>supervisionada por um médico com experiência em terapia intensiva (neonatal) e em anestesia cardiotorácica</w:t>
      </w:r>
      <w:r w:rsidRPr="007908F9">
        <w:rPr>
          <w:rFonts w:ascii="LindeDaxOffice Medium" w:hAnsi="LindeDaxOffice Medium"/>
        </w:rPr>
        <w:t>. A concentração inspirada de NO deve ser medida, continuamente, próximo ao paciente. O sistema de entrega deve ser purgado pela mistura de nitrogênio-óxido nítrico antes de cada novo uso para evitar a inalação de dióxido de nitrogênio (NO</w:t>
      </w:r>
      <w:r w:rsidRPr="007908F9">
        <w:rPr>
          <w:rFonts w:ascii="LindeDaxOffice Medium" w:hAnsi="LindeDaxOffice Medium"/>
          <w:vertAlign w:val="subscript"/>
        </w:rPr>
        <w:t>2</w:t>
      </w:r>
      <w:r w:rsidRPr="007908F9">
        <w:rPr>
          <w:rFonts w:ascii="LindeDaxOffice Medium" w:hAnsi="LindeDaxOffice Medium"/>
        </w:rPr>
        <w:t>). A pressão de gás do cilindro de NO deve ser exibida e os cilindros de gás de reserva devem estar disponíveis para permitir a substituição oportuna. A terapia de NO deve estar disponível para ventilação manual, como sucção, transporte do paciente e ressuscitação. Em caso de falha do sistema de entrega ou da rede elétrica, deve haver uma fonte de alimentação de bateria e um sistema de fornecimento de NO de reserva.</w:t>
      </w:r>
    </w:p>
    <w:p w14:paraId="0A7AD055" w14:textId="6A46135C" w:rsidR="00992976" w:rsidRPr="007908F9" w:rsidRDefault="00992976" w:rsidP="00992976">
      <w:pPr>
        <w:jc w:val="both"/>
        <w:rPr>
          <w:rFonts w:ascii="LindeDaxOffice Medium" w:hAnsi="LindeDaxOffice Medium"/>
        </w:rPr>
      </w:pPr>
      <w:r>
        <w:rPr>
          <w:rFonts w:ascii="LindeDaxOffice Medium" w:hAnsi="LindeDaxOffice Medium"/>
          <w:b/>
          <w:bCs/>
        </w:rPr>
        <w:t xml:space="preserve">Número de </w:t>
      </w:r>
      <w:r w:rsidRPr="007908F9">
        <w:rPr>
          <w:rFonts w:ascii="LindeDaxOffice Medium" w:hAnsi="LindeDaxOffice Medium"/>
          <w:b/>
          <w:bCs/>
        </w:rPr>
        <w:t xml:space="preserve">Lote e Data de Fabricação: </w:t>
      </w:r>
      <w:r w:rsidRPr="007908F9">
        <w:rPr>
          <w:rFonts w:ascii="LindeDaxOffice Medium" w:hAnsi="LindeDaxOffice Medium"/>
        </w:rPr>
        <w:t xml:space="preserve">consultar etiqueta adicional </w:t>
      </w:r>
      <w:r w:rsidR="00061D70">
        <w:rPr>
          <w:rFonts w:ascii="LindeDaxOffice Medium" w:hAnsi="LindeDaxOffice Medium"/>
        </w:rPr>
        <w:t>n</w:t>
      </w:r>
      <w:r w:rsidRPr="007908F9">
        <w:rPr>
          <w:rFonts w:ascii="LindeDaxOffice Medium" w:hAnsi="LindeDaxOffice Medium"/>
        </w:rPr>
        <w:t>o cilindro.</w:t>
      </w:r>
    </w:p>
    <w:p w14:paraId="4A34E7D4" w14:textId="3A517FE9" w:rsidR="00D04225" w:rsidRDefault="00D04225" w:rsidP="00D04225">
      <w:pPr>
        <w:spacing w:after="0"/>
        <w:jc w:val="both"/>
        <w:rPr>
          <w:rFonts w:ascii="LindeDaxOffice Medium" w:hAnsi="LindeDaxOffice Medium"/>
        </w:rPr>
      </w:pPr>
      <w:r w:rsidRPr="007908F9">
        <w:rPr>
          <w:rFonts w:ascii="LindeDaxOffice Medium" w:hAnsi="LindeDaxOffice Medium"/>
          <w:b/>
          <w:bCs/>
        </w:rPr>
        <w:t xml:space="preserve">Prazo de validade: </w:t>
      </w:r>
      <w:r w:rsidR="00DA58D2">
        <w:rPr>
          <w:rFonts w:ascii="LindeDaxOffice Medium" w:hAnsi="LindeDaxOffice Medium"/>
        </w:rPr>
        <w:t>3</w:t>
      </w:r>
      <w:r w:rsidRPr="007908F9">
        <w:rPr>
          <w:rFonts w:ascii="LindeDaxOffice Medium" w:hAnsi="LindeDaxOffice Medium"/>
        </w:rPr>
        <w:t xml:space="preserve"> ano</w:t>
      </w:r>
      <w:r w:rsidR="00DA58D2">
        <w:rPr>
          <w:rFonts w:ascii="LindeDaxOffice Medium" w:hAnsi="LindeDaxOffice Medium"/>
        </w:rPr>
        <w:t>s</w:t>
      </w:r>
      <w:r w:rsidRPr="007908F9">
        <w:rPr>
          <w:rFonts w:ascii="LindeDaxOffice Medium" w:hAnsi="LindeDaxOffice Medium"/>
        </w:rPr>
        <w:t xml:space="preserve"> a partir da data de fabricação.</w:t>
      </w:r>
    </w:p>
    <w:p w14:paraId="0BAA5B6B" w14:textId="77777777" w:rsidR="00D04225" w:rsidRPr="007908F9" w:rsidRDefault="00D04225" w:rsidP="00D04225">
      <w:pPr>
        <w:spacing w:after="0"/>
        <w:jc w:val="both"/>
        <w:rPr>
          <w:rFonts w:ascii="LindeDaxOffice Medium" w:hAnsi="LindeDaxOffice Medium"/>
          <w:b/>
          <w:bCs/>
        </w:rPr>
      </w:pPr>
    </w:p>
    <w:p w14:paraId="3644405A" w14:textId="77777777" w:rsidR="00885D38" w:rsidRPr="007908F9" w:rsidRDefault="00885D38" w:rsidP="00885D38">
      <w:pPr>
        <w:jc w:val="both"/>
        <w:rPr>
          <w:rFonts w:ascii="LindeDaxOffice Medium" w:hAnsi="LindeDaxOffice Medium"/>
        </w:rPr>
      </w:pPr>
      <w:r w:rsidRPr="007908F9">
        <w:rPr>
          <w:rFonts w:ascii="LindeDaxOffice Medium" w:hAnsi="LindeDaxOffice Medium"/>
          <w:b/>
          <w:bCs/>
        </w:rPr>
        <w:t xml:space="preserve">Indicações: </w:t>
      </w:r>
      <w:r w:rsidRPr="007908F9">
        <w:rPr>
          <w:rFonts w:ascii="LindeDaxOffice Medium" w:hAnsi="LindeDaxOffice Medium"/>
          <w:lang w:val="pt-PT"/>
        </w:rPr>
        <w:t>Hipertensão Pulmonar Persistente no Recém-Nascido (HPPN)</w:t>
      </w:r>
      <w:r w:rsidRPr="007908F9">
        <w:rPr>
          <w:rFonts w:ascii="LindeDaxOffice Medium" w:hAnsi="LindeDaxOffice Medium"/>
          <w:b/>
          <w:bCs/>
          <w:lang w:val="pt-PT"/>
        </w:rPr>
        <w:t xml:space="preserve"> </w:t>
      </w:r>
      <w:r w:rsidRPr="007908F9">
        <w:rPr>
          <w:rFonts w:ascii="LindeDaxOffice Medium" w:hAnsi="LindeDaxOffice Medium"/>
        </w:rPr>
        <w:t xml:space="preserve">tratamento de recém-nascidos (apenas se necessitarem de suporte por mais de 24h) com 34 semanas de gestação com insuficiência respiratória hipóxica associada a evidências clínicas ou ecocardiográficas de hipertensão pulmonar, a fim de melhorar a oxigenação e reduzir a necessidade de oxigenação por membrana extracorpórea. </w:t>
      </w:r>
      <w:r w:rsidRPr="007908F9">
        <w:rPr>
          <w:rFonts w:ascii="LindeDaxOffice Medium" w:hAnsi="LindeDaxOffice Medium"/>
          <w:lang w:val="pt-PT"/>
        </w:rPr>
        <w:t>Hipertensão pulmonar associada à cirurgia cardíaca, como complementar ao tratamento</w:t>
      </w:r>
      <w:r w:rsidRPr="007908F9">
        <w:rPr>
          <w:rFonts w:ascii="LindeDaxOffice Medium" w:hAnsi="LindeDaxOffice Medium"/>
        </w:rPr>
        <w:t xml:space="preserve"> peri e pós-operatório em adultos e recém-nascidos, lactentes, crianças e adolescentes de 0 a 17 anos, em conjunto com cirurgia cardíaca, a fim de diminuir seletivamente a pressão arterial pulmonar e melhorar a função ventricular direita e a oxigenação.</w:t>
      </w:r>
    </w:p>
    <w:p w14:paraId="4800CC24" w14:textId="77777777" w:rsidR="00885D38" w:rsidRPr="007908F9" w:rsidRDefault="00885D38" w:rsidP="00885D38">
      <w:pPr>
        <w:jc w:val="both"/>
        <w:rPr>
          <w:rFonts w:ascii="LindeDaxOffice Medium" w:hAnsi="LindeDaxOffice Medium"/>
          <w:b/>
          <w:bCs/>
        </w:rPr>
      </w:pPr>
      <w:r w:rsidRPr="007908F9">
        <w:rPr>
          <w:rFonts w:ascii="LindeDaxOffice Medium" w:hAnsi="LindeDaxOffice Medium"/>
          <w:b/>
          <w:bCs/>
        </w:rPr>
        <w:t xml:space="preserve">Contraindicações: </w:t>
      </w:r>
      <w:r w:rsidRPr="007908F9">
        <w:rPr>
          <w:rFonts w:ascii="LindeDaxOffice Medium" w:hAnsi="LindeDaxOffice Medium"/>
        </w:rPr>
        <w:t>Hipersensibilidade à substância ativa ou a qualquer um dos componentes. Neonatos com dependência conhecida de desvio de sangue da direita para a esquerda ou desvio significativo da esquerda para a direita.</w:t>
      </w:r>
    </w:p>
    <w:p w14:paraId="00235D11" w14:textId="4C45BFFC" w:rsidR="005A09B7" w:rsidRPr="007908F9" w:rsidRDefault="00242BAB" w:rsidP="005A09B7">
      <w:pPr>
        <w:jc w:val="both"/>
        <w:rPr>
          <w:rFonts w:ascii="LindeDaxOffice Medium" w:hAnsi="LindeDaxOffice Medium"/>
        </w:rPr>
      </w:pPr>
      <w:r w:rsidRPr="00F117E2">
        <w:rPr>
          <w:rFonts w:ascii="LindeDaxOffice Medium" w:hAnsi="LindeDaxOffice Medium"/>
          <w:b/>
          <w:bCs/>
        </w:rPr>
        <w:t>Perigo</w:t>
      </w:r>
      <w:r w:rsidR="00F117E2" w:rsidRPr="00F117E2">
        <w:rPr>
          <w:rFonts w:ascii="LindeDaxOffice Medium" w:hAnsi="LindeDaxOffice Medium"/>
          <w:b/>
          <w:bCs/>
        </w:rPr>
        <w:t xml:space="preserve">: </w:t>
      </w:r>
      <w:r w:rsidR="00F117E2" w:rsidRPr="00242BAB">
        <w:rPr>
          <w:rFonts w:ascii="LindeDaxOffice Medium" w:hAnsi="LindeDaxOffice Medium"/>
        </w:rPr>
        <w:t>Contém gás sob pressão; pode explodir sob a ação do calor; mantenha ao abrigo da luz solar; armazene em local bem ventilado.</w:t>
      </w:r>
      <w:r w:rsidR="005A09B7" w:rsidRPr="007908F9">
        <w:rPr>
          <w:rFonts w:ascii="LindeDaxOffice Medium" w:hAnsi="LindeDaxOffice Medium"/>
        </w:rPr>
        <w:t xml:space="preserve"> </w:t>
      </w:r>
    </w:p>
    <w:p w14:paraId="64312E7F" w14:textId="77777777" w:rsidR="00875934" w:rsidRDefault="00875934" w:rsidP="00875934">
      <w:pPr>
        <w:jc w:val="both"/>
        <w:rPr>
          <w:rFonts w:ascii="LindeDaxOffice Medium" w:hAnsi="LindeDaxOffice Medium"/>
        </w:rPr>
      </w:pPr>
      <w:r w:rsidRPr="007908F9">
        <w:rPr>
          <w:rFonts w:ascii="LindeDaxOffice Medium" w:hAnsi="LindeDaxOffice Medium"/>
          <w:b/>
          <w:bCs/>
        </w:rPr>
        <w:t>Precauções:</w:t>
      </w:r>
      <w:r w:rsidRPr="007908F9">
        <w:rPr>
          <w:rFonts w:ascii="LindeDaxOffice Medium" w:hAnsi="LindeDaxOffice Medium"/>
        </w:rPr>
        <w:t xml:space="preserve"> O NO inalado deve ser usado com cautela em pacientes com cardiopatias complexas, nos quais a alta pressão na artéria pulmonar é importante para a manutenção da circulação. Portanto, recomenda-se que, antes da administração de óxido nítrico, seja realizado um cateterismo da artéria pulmonar ou um exame ecocardiográfico da hemodinâmica central. O NO inalatório também deve ser usado com cautela em pacientes </w:t>
      </w:r>
      <w:r w:rsidRPr="007908F9">
        <w:rPr>
          <w:rFonts w:ascii="LindeDaxOffice Medium" w:hAnsi="LindeDaxOffice Medium"/>
        </w:rPr>
        <w:lastRenderedPageBreak/>
        <w:t>com pressão capilar pulmonar (PCWP) basal elevada, pois eles podem ter um risco maior de desenvolver insuficiência cardíaca (por ex., edema pulmonar). A dose de NO não deve ser interrompida abruptamente e o desmame deve ser realizado com cautela, pois pode resultar em aumento da pressão arterial pulmonar (PAP) e/ou piora da oxigenação sanguínea (PaO2). As concentrações de meta-hemoglobina no sangue devem ser monitoradas. A dose de óxido nítrico deve ser reduzida se a concentração de dióxido de nitrogênio exceder 0,5 ppm. Recomenda-se o monitoramento regular da hemostasia e a medição do tempo de sangramento durante a administração por mais de 24 horas em pacientes com anomalias plaquetárias funcionais ou quantitativas, baixo fator de coagulação ou em tratamento anticoagulante. Casos de edema pulmonar com risco de vida foram relatados com o uso de óxido nítrico em pacientes com doença veno-oclusiva pulmonar. Portanto, a possibilidade de uma doença veno-oclusiva deve ser cuidadosamente avaliada caso ocorram sinais de edema pulmonar após a administração de óxido nítrico em pacientes com hipertensão pulmonar e o tratamento ser descontinuado. Deve-se garantir a disponibilidade de óxido nítrico durante o transporte. Deve-se considerar a descontinuação do tratamento se nenhum efeito fisiológico benéfico for aparente após um teste de terapia de 30 minutos. A segurança e eficácia do NO em recém-nascidos prematuros com menos de 34 semanas de gestação ainda não foram estabelecidas. Em ensaios clínicos, não foi demonstrada eficácia com o uso de óxido nítrico inalatório em pacientes com hérnia diafragmática congênita.</w:t>
      </w:r>
    </w:p>
    <w:p w14:paraId="333B90AF" w14:textId="77777777" w:rsidR="00FC6AE2" w:rsidRDefault="00513171" w:rsidP="00992976">
      <w:pPr>
        <w:jc w:val="both"/>
        <w:rPr>
          <w:rFonts w:ascii="LindeDaxOffice Medium" w:hAnsi="LindeDaxOffice Medium"/>
        </w:rPr>
      </w:pPr>
      <w:r w:rsidRPr="007908F9">
        <w:rPr>
          <w:rFonts w:ascii="LindeDaxOffice Medium" w:hAnsi="LindeDaxOffice Medium"/>
          <w:b/>
          <w:bCs/>
        </w:rPr>
        <w:t>Reações Adversas:</w:t>
      </w:r>
      <w:r w:rsidRPr="007908F9">
        <w:rPr>
          <w:rFonts w:ascii="LindeDaxOffice Medium" w:hAnsi="LindeDaxOffice Medium"/>
        </w:rPr>
        <w:t xml:space="preserve"> A interrupção abrupta da administração de NO inalatório pode causar reação de rebote (diminuição da oxigenação e aumento da pressão central e subsequente diminuição da pressão arterial sistêmica). Em um estudo clínico (NINOS), os grupos de tratamento foram semelhantes em relação à incidência e gravidade de hemorragia intracraniana, hemorragia Grau IV, leucomalácia periventricular, infarto cerebral, convulsões que requerem terapia anticonvulsivante, hemorragia pulmonar ou hemorragia gastrointestinal. No estudo CINRGI com 212 neonatos ou na experiência pós-comercialização em neonatos (&lt;1 mês de idade): muito comum: Trombocitopenia, comum: Hipotensão e Atelectasia, incomum: Metahemoglobinemia, não conhecido (sem estudo clínico): bradicardia, hipóxia, dispneia, desconforto no peito, garganta seca.</w:t>
      </w:r>
    </w:p>
    <w:p w14:paraId="2C7C5563" w14:textId="77777777" w:rsidR="00FC6AE2" w:rsidRPr="007908F9" w:rsidRDefault="00FC6AE2" w:rsidP="00FC6AE2">
      <w:pPr>
        <w:jc w:val="both"/>
        <w:rPr>
          <w:rFonts w:ascii="LindeDaxOffice Medium" w:hAnsi="LindeDaxOffice Medium"/>
        </w:rPr>
      </w:pPr>
      <w:r w:rsidRPr="007908F9">
        <w:rPr>
          <w:rFonts w:ascii="LindeDaxOffice Medium" w:hAnsi="LindeDaxOffice Medium"/>
          <w:b/>
          <w:bCs/>
        </w:rPr>
        <w:t xml:space="preserve">Interações Medicamentosas: </w:t>
      </w:r>
      <w:r w:rsidRPr="007908F9">
        <w:rPr>
          <w:rFonts w:ascii="LindeDaxOffice Medium" w:hAnsi="LindeDaxOffice Medium"/>
        </w:rPr>
        <w:t>Não foram realizados estudos de interação. Pode haver um efeito aditivo em desenvolver meta-hemoglobinemia com substâncias doadoras de óxido nítrico, incluindo nitroprussiato de sódio e nitroglicerina. A prilocaína, administrada em formulações orais, parenterais ou tópicas, pode causar meta-hemoglobinemia. NO foi administrado com segurança com tolazolina, dopamina, dobutamina, esteroides, surfactante e ventilação de alta frequência. Os dados disponíveis sugerem efeitos aditivos na circulação central, pressão arterial pulmonar e desempenho ventricular direito. A combinação de óxido nítrico inalatório com outros vasodilatadores que atuam pelos sistemas cGMP ou cAMP deve ser feita com cautela. Durante o tratamento com óxido nítrico, a concentração de NO2 deve ser &lt; 0,5 ppm na faixa de dose de óxido nítrico &lt; 20 ppm. Se, a qualquer momento, a concentração de NO2 exceder 1 ppm, a dose de óxido nítrico deve ser imediatamente reduzida.</w:t>
      </w:r>
    </w:p>
    <w:p w14:paraId="7985557B" w14:textId="3B43CDD1" w:rsidR="00992976" w:rsidRPr="007908F9" w:rsidRDefault="00992976" w:rsidP="00992976">
      <w:pPr>
        <w:jc w:val="both"/>
        <w:rPr>
          <w:rFonts w:ascii="LindeDaxOffice Medium" w:hAnsi="LindeDaxOffice Medium"/>
        </w:rPr>
      </w:pPr>
      <w:r w:rsidRPr="007908F9">
        <w:rPr>
          <w:rFonts w:ascii="LindeDaxOffice Medium" w:hAnsi="LindeDaxOffice Medium"/>
          <w:b/>
          <w:bCs/>
        </w:rPr>
        <w:t xml:space="preserve">Linha de Produção: </w:t>
      </w:r>
      <w:r w:rsidRPr="007908F9">
        <w:rPr>
          <w:rFonts w:ascii="LindeDaxOffice Medium" w:hAnsi="LindeDaxOffice Medium"/>
        </w:rPr>
        <w:t>Gás medicinal, comprimido.</w:t>
      </w:r>
    </w:p>
    <w:p w14:paraId="5D3EC7EF" w14:textId="6B32A702" w:rsidR="00392C57" w:rsidRPr="007908F9" w:rsidRDefault="00D04225" w:rsidP="00392C57">
      <w:pPr>
        <w:jc w:val="both"/>
        <w:rPr>
          <w:rFonts w:ascii="LindeDaxOffice Medium" w:hAnsi="LindeDaxOffice Medium"/>
        </w:rPr>
      </w:pPr>
      <w:r w:rsidRPr="007908F9">
        <w:rPr>
          <w:rFonts w:ascii="LindeDaxOffice Medium" w:hAnsi="LindeDaxOffice Medium"/>
          <w:b/>
          <w:bCs/>
        </w:rPr>
        <w:t>Posologia</w:t>
      </w:r>
      <w:r w:rsidR="00F32235">
        <w:rPr>
          <w:rFonts w:ascii="LindeDaxOffice Medium" w:hAnsi="LindeDaxOffice Medium"/>
          <w:b/>
          <w:bCs/>
        </w:rPr>
        <w:t xml:space="preserve"> </w:t>
      </w:r>
      <w:r w:rsidR="00F32235" w:rsidRPr="00A86AB7">
        <w:rPr>
          <w:rFonts w:ascii="LindeDaxOffice Medium" w:hAnsi="LindeDaxOffice Medium"/>
          <w:b/>
          <w:bCs/>
        </w:rPr>
        <w:t>e Administração</w:t>
      </w:r>
      <w:r w:rsidR="00392C57" w:rsidRPr="007908F9">
        <w:rPr>
          <w:rFonts w:ascii="LindeDaxOffice Medium" w:hAnsi="LindeDaxOffice Medium"/>
          <w:b/>
          <w:bCs/>
        </w:rPr>
        <w:t xml:space="preserve">: </w:t>
      </w:r>
      <w:r w:rsidR="00392C57" w:rsidRPr="007908F9">
        <w:rPr>
          <w:rFonts w:ascii="LindeDaxOffice Medium" w:hAnsi="LindeDaxOffice Medium"/>
        </w:rPr>
        <w:t>A dose máxima recomendada de 0 a 17 anos é de 20 ppm, para adulto é de 40 ppm. A menor dose eficaz deve ser administrada e a dose deve ser reduzida para 5 ppm, desde que a pressão da artéria pulmonar e a oxigenação arterial sistêmica permaneçam adequadas com essa dose mais baixa, até que a dessaturação de oxigênio subjacente seja resolvida e o desmame possa ser iniciado, normalmente, após 96h de terapia. As tentativas de desmame devem ser iniciadas assim que a hemodinâmica estiver estabilizada, em conjunto com o desmame do ventilador e do suporte inotrópico, de forma gradual. A dose deve ser reduzida gradualmente para 1 ppm por 30 minutos, com observação rigorosa da pressão sistêmica e central, e então desligada. O desmame deve ser tentado pelo menos a cada 12 horas quando o paciente estiver estável com uma dose baixa.</w:t>
      </w:r>
      <w:r w:rsidR="00BB2F8B">
        <w:rPr>
          <w:rFonts w:ascii="LindeDaxOffice Medium" w:hAnsi="LindeDaxOffice Medium"/>
        </w:rPr>
        <w:t xml:space="preserve"> </w:t>
      </w:r>
      <w:r w:rsidR="00392C57" w:rsidRPr="007908F9">
        <w:rPr>
          <w:rFonts w:ascii="LindeDaxOffice Medium" w:hAnsi="LindeDaxOffice Medium"/>
        </w:rPr>
        <w:t xml:space="preserve">Iniciar o desmame com 1ppm por 30min-1h. Caso a oxigenação baixe, o desmame deve ser desconsiderado pelas próximas 12-24h e a dose retomada. Caso o desmame não aconteça em até 4 dias, investigações de doenças associadas devem ser realizadas. O desmame muito rápido da terapia com óxido nítrico inalatório acarreta o risco de um aumento rebote na pressão da artéria pulmonar com </w:t>
      </w:r>
      <w:r w:rsidR="00392C57" w:rsidRPr="007908F9">
        <w:rPr>
          <w:rFonts w:ascii="LindeDaxOffice Medium" w:hAnsi="LindeDaxOffice Medium"/>
        </w:rPr>
        <w:lastRenderedPageBreak/>
        <w:t>subsequente instabilidade circulatória. O NO inalado tem sido administrado por períodos de até 7 dias em ambiente perioperatório, mas o tempo de tratamento comum é de 24 a 48 horas. Em casos de falha de resposta ao óxido nítrico inalatório, consulte precauções.</w:t>
      </w:r>
    </w:p>
    <w:p w14:paraId="2B9FCA23" w14:textId="77777777" w:rsidR="00CD543C" w:rsidRDefault="00CD543C" w:rsidP="00CD543C">
      <w:pPr>
        <w:jc w:val="both"/>
        <w:rPr>
          <w:rFonts w:ascii="LindeDaxOffice Medium" w:hAnsi="LindeDaxOffice Medium"/>
        </w:rPr>
      </w:pPr>
      <w:r w:rsidRPr="007908F9">
        <w:rPr>
          <w:rFonts w:ascii="LindeDaxOffice Medium" w:hAnsi="LindeDaxOffice Medium"/>
          <w:b/>
          <w:bCs/>
        </w:rPr>
        <w:t xml:space="preserve">Manuseio e Armazenamento: </w:t>
      </w:r>
      <w:r w:rsidRPr="007908F9">
        <w:rPr>
          <w:rFonts w:ascii="LindeDaxOffice Medium" w:hAnsi="LindeDaxOffice Medium"/>
        </w:rPr>
        <w:t>Os cilindros devem ser armazenados em uma área bem ventilada, sob cobertura, reservada para o armazenamento de gases medicinais. Devem ser mantidos secos e limpos, protegidos contra intempéries e ventos, livres de materiais inflamáveis e não submetidos a temperaturas extremas. Cilindros de gases diferentes, cheios e vazios, devem ser armazenados separadamente, em um local específico para óxido nítrico, transportados com as válvulas fechadas, possuir um lacre inviolado e rótulo legível. Os cilindros devem ser mantidos na posição vertical, secos e limpos. Proteja contra golpes ou quedas. Cilindros contendo diferentes tipos de gases, cheios ou vazios, devem ser mantidos separados. Nunca use óleo ou graxa, mesmo que a válvula do cilindro seja difícil de abrir. Use equipamentos projetados e normalizados para misturas de NO para garantir uma administração controlada. Verifique se os cilindros estão com lacre antes de serem usados. Antes da utilização, certifique-se de que resta quantidade suficiente de produto para permitir a conclusão da administração planejada.</w:t>
      </w:r>
    </w:p>
    <w:p w14:paraId="55B275B5" w14:textId="77777777" w:rsidR="00C33DF9" w:rsidRPr="00A86AB7" w:rsidRDefault="00C33DF9" w:rsidP="00C33DF9">
      <w:pPr>
        <w:rPr>
          <w:rFonts w:ascii="LindeDaxOffice Medium" w:hAnsi="LindeDaxOffice Medium"/>
        </w:rPr>
      </w:pPr>
      <w:r w:rsidRPr="00A86AB7">
        <w:rPr>
          <w:rFonts w:ascii="LindeDaxOffice Medium" w:hAnsi="LindeDaxOffice Medium"/>
        </w:rPr>
        <w:t>Informe ao seu médico ou cirurgião-dentista o aparecimento de reações indesejáveis pelo uso do gás medicinal. Informe também à empresa através do seu serviço de atendimento.</w:t>
      </w:r>
    </w:p>
    <w:p w14:paraId="3A5A950B" w14:textId="77777777" w:rsidR="00C33DF9" w:rsidRPr="00A86AB7" w:rsidRDefault="00C33DF9" w:rsidP="00C33DF9">
      <w:pPr>
        <w:rPr>
          <w:rFonts w:ascii="LindeDaxOffice Medium" w:hAnsi="LindeDaxOffice Medium"/>
        </w:rPr>
      </w:pPr>
      <w:r w:rsidRPr="00A86AB7">
        <w:rPr>
          <w:rFonts w:ascii="LindeDaxOffice Medium" w:hAnsi="LindeDaxOffice Medium"/>
        </w:rPr>
        <w:t>Em caso de dúvidas sobre o uso deste gás medicinal, procure orientação de um profissional de saúde.</w:t>
      </w:r>
    </w:p>
    <w:p w14:paraId="40149D3D" w14:textId="77777777" w:rsidR="00C33DF9" w:rsidRPr="00A86AB7" w:rsidRDefault="00C33DF9" w:rsidP="00C33DF9">
      <w:pPr>
        <w:rPr>
          <w:rFonts w:ascii="LindeDaxOffice Medium" w:hAnsi="LindeDaxOffice Medium"/>
        </w:rPr>
      </w:pPr>
      <w:r w:rsidRPr="00A86AB7">
        <w:rPr>
          <w:rFonts w:ascii="LindeDaxOffice Medium" w:hAnsi="LindeDaxOffice Medium"/>
        </w:rPr>
        <w:t>TODO MEDICAMENTO DEVE SER MANTIDO FORA DO ALCANCE DAS CRIANÇAS</w:t>
      </w:r>
    </w:p>
    <w:p w14:paraId="1A293F96" w14:textId="71E1099E" w:rsidR="003C42A3" w:rsidRPr="007908F9" w:rsidRDefault="00C33DF9" w:rsidP="00C33DF9">
      <w:pPr>
        <w:jc w:val="both"/>
        <w:rPr>
          <w:rFonts w:ascii="LindeDaxOffice Medium" w:hAnsi="LindeDaxOffice Medium"/>
        </w:rPr>
      </w:pPr>
      <w:r w:rsidRPr="00A86AB7">
        <w:rPr>
          <w:rFonts w:ascii="LindeDaxOffice Medium" w:hAnsi="LindeDaxOffice Medium"/>
        </w:rPr>
        <w:t>Uso sob prescrição médica. Produto exclusivamente de uso medicinal.</w:t>
      </w:r>
    </w:p>
    <w:p w14:paraId="71779224" w14:textId="13D5F597" w:rsidR="00B83CEA" w:rsidRPr="007908F9" w:rsidRDefault="004301B4" w:rsidP="004850A7">
      <w:pPr>
        <w:jc w:val="both"/>
        <w:rPr>
          <w:rFonts w:ascii="LindeDaxOffice Medium" w:hAnsi="LindeDaxOffice Medium"/>
        </w:rPr>
      </w:pPr>
      <w:r w:rsidRPr="00180794">
        <w:rPr>
          <w:rFonts w:ascii="LindeDaxOffice Medium" w:hAnsi="LindeDaxOffice Medium"/>
          <w:highlight w:val="yellow"/>
        </w:rPr>
        <w:t>A sigla "MS" adicionada ao número de registro no Ministério da Saúde conforme publicado em Diário Oficial da União (DOU), sendo necessários os treze dígitos</w:t>
      </w:r>
      <w:r w:rsidR="00590CDA">
        <w:rPr>
          <w:rFonts w:ascii="LindeDaxOffice Medium" w:hAnsi="LindeDaxOffice Medium"/>
          <w:highlight w:val="yellow"/>
        </w:rPr>
        <w:t xml:space="preserve"> será inserida </w:t>
      </w:r>
      <w:r w:rsidR="004C6EA4">
        <w:rPr>
          <w:rFonts w:ascii="LindeDaxOffice Medium" w:hAnsi="LindeDaxOffice Medium"/>
          <w:highlight w:val="yellow"/>
        </w:rPr>
        <w:t>após</w:t>
      </w:r>
      <w:r w:rsidR="00590CDA">
        <w:rPr>
          <w:rFonts w:ascii="LindeDaxOffice Medium" w:hAnsi="LindeDaxOffice Medium"/>
          <w:highlight w:val="yellow"/>
        </w:rPr>
        <w:t xml:space="preserve"> produto </w:t>
      </w:r>
      <w:r w:rsidR="004C6EA4">
        <w:rPr>
          <w:rFonts w:ascii="LindeDaxOffice Medium" w:hAnsi="LindeDaxOffice Medium"/>
          <w:highlight w:val="yellow"/>
        </w:rPr>
        <w:t>ser</w:t>
      </w:r>
      <w:r w:rsidR="00590CDA">
        <w:rPr>
          <w:rFonts w:ascii="LindeDaxOffice Medium" w:hAnsi="LindeDaxOffice Medium"/>
          <w:highlight w:val="yellow"/>
        </w:rPr>
        <w:t xml:space="preserve"> registrado na Anvisa</w:t>
      </w:r>
      <w:r w:rsidRPr="00180794">
        <w:rPr>
          <w:rFonts w:ascii="LindeDaxOffice Medium" w:hAnsi="LindeDaxOffice Medium"/>
          <w:highlight w:val="yellow"/>
        </w:rPr>
        <w:t>.</w:t>
      </w:r>
    </w:p>
    <w:p w14:paraId="2678D08D" w14:textId="4DACD5FB" w:rsidR="00B50179" w:rsidRDefault="00B50179" w:rsidP="00B50179">
      <w:pPr>
        <w:rPr>
          <w:rFonts w:ascii="LindeDaxOffice Medium" w:hAnsi="LindeDaxOffice Medium"/>
          <w:color w:val="000000" w:themeColor="text1"/>
        </w:rPr>
      </w:pPr>
      <w:r>
        <w:rPr>
          <w:rFonts w:ascii="LindeDaxOffice Medium" w:hAnsi="LindeDaxOffice Medium"/>
          <w:b/>
          <w:bCs/>
          <w:color w:val="000000" w:themeColor="text1"/>
        </w:rPr>
        <w:t>Registrado</w:t>
      </w:r>
      <w:r w:rsidRPr="009E4DAF">
        <w:rPr>
          <w:rFonts w:ascii="LindeDaxOffice Medium" w:hAnsi="LindeDaxOffice Medium"/>
          <w:b/>
          <w:bCs/>
          <w:color w:val="000000" w:themeColor="text1"/>
        </w:rPr>
        <w:t xml:space="preserve"> por: </w:t>
      </w:r>
      <w:r w:rsidRPr="009E4DAF">
        <w:rPr>
          <w:rFonts w:ascii="LindeDaxOffice Medium" w:hAnsi="LindeDaxOffice Medium"/>
          <w:color w:val="000000" w:themeColor="text1"/>
        </w:rPr>
        <w:t xml:space="preserve">White Martins Gases Industriais Ltda. CNPJ: </w:t>
      </w:r>
      <w:r w:rsidRPr="00F039C6">
        <w:rPr>
          <w:rFonts w:ascii="LindeDaxOffice Medium" w:hAnsi="LindeDaxOffice Medium"/>
          <w:color w:val="000000" w:themeColor="text1"/>
        </w:rPr>
        <w:t>35.820.448/0007-21</w:t>
      </w:r>
      <w:r>
        <w:rPr>
          <w:rFonts w:ascii="LindeDaxOffice Medium" w:hAnsi="LindeDaxOffice Medium"/>
          <w:color w:val="000000" w:themeColor="text1"/>
        </w:rPr>
        <w:t>,</w:t>
      </w:r>
      <w:r w:rsidRPr="009E4DAF">
        <w:rPr>
          <w:rFonts w:ascii="LindeDaxOffice Medium" w:hAnsi="LindeDaxOffice Medium"/>
          <w:b/>
          <w:bCs/>
          <w:color w:val="000000" w:themeColor="text1"/>
        </w:rPr>
        <w:t xml:space="preserve"> </w:t>
      </w:r>
      <w:r w:rsidRPr="00B8568F">
        <w:rPr>
          <w:rFonts w:ascii="LindeDaxOffice Medium" w:hAnsi="LindeDaxOffice Medium"/>
          <w:color w:val="000000" w:themeColor="text1"/>
        </w:rPr>
        <w:t>Rua Guianas, 80</w:t>
      </w:r>
      <w:r>
        <w:rPr>
          <w:rFonts w:ascii="LindeDaxOffice Medium" w:hAnsi="LindeDaxOffice Medium"/>
          <w:color w:val="000000" w:themeColor="text1"/>
        </w:rPr>
        <w:t>,</w:t>
      </w:r>
      <w:r w:rsidRPr="00B8568F">
        <w:rPr>
          <w:rFonts w:ascii="LindeDaxOffice Medium" w:hAnsi="LindeDaxOffice Medium"/>
          <w:color w:val="000000" w:themeColor="text1"/>
        </w:rPr>
        <w:t xml:space="preserve"> PARTE, Campos Eliseos, </w:t>
      </w:r>
      <w:r w:rsidRPr="00381C30">
        <w:rPr>
          <w:rFonts w:ascii="LindeDaxOffice Medium" w:hAnsi="LindeDaxOffice Medium"/>
          <w:color w:val="000000" w:themeColor="text1"/>
        </w:rPr>
        <w:t xml:space="preserve">Duque </w:t>
      </w:r>
      <w:r>
        <w:rPr>
          <w:rFonts w:ascii="LindeDaxOffice Medium" w:hAnsi="LindeDaxOffice Medium"/>
          <w:color w:val="000000" w:themeColor="text1"/>
        </w:rPr>
        <w:t>de</w:t>
      </w:r>
      <w:r w:rsidRPr="00381C30">
        <w:rPr>
          <w:rFonts w:ascii="LindeDaxOffice Medium" w:hAnsi="LindeDaxOffice Medium"/>
          <w:color w:val="000000" w:themeColor="text1"/>
        </w:rPr>
        <w:t xml:space="preserve"> Caxias-RJ</w:t>
      </w:r>
      <w:r>
        <w:rPr>
          <w:rFonts w:ascii="LindeDaxOffice Medium" w:hAnsi="LindeDaxOffice Medium"/>
          <w:color w:val="000000" w:themeColor="text1"/>
        </w:rPr>
        <w:t>,</w:t>
      </w:r>
      <w:r w:rsidRPr="00B8568F">
        <w:rPr>
          <w:rFonts w:ascii="LindeDaxOffice Medium" w:hAnsi="LindeDaxOffice Medium"/>
          <w:color w:val="000000" w:themeColor="text1"/>
        </w:rPr>
        <w:t xml:space="preserve"> CEP 25225-170</w:t>
      </w:r>
      <w:r w:rsidRPr="009E4DAF">
        <w:rPr>
          <w:rFonts w:ascii="LindeDaxOffice Medium" w:hAnsi="LindeDaxOffice Medium"/>
          <w:color w:val="000000" w:themeColor="text1"/>
        </w:rPr>
        <w:t>.</w:t>
      </w:r>
    </w:p>
    <w:p w14:paraId="03E567ED" w14:textId="77777777" w:rsidR="00B50179" w:rsidRDefault="00B50179" w:rsidP="00B50179">
      <w:pPr>
        <w:rPr>
          <w:rFonts w:ascii="LindeDaxOffice Medium" w:hAnsi="LindeDaxOffice Medium"/>
          <w:color w:val="000000" w:themeColor="text1"/>
        </w:rPr>
      </w:pPr>
      <w:r w:rsidRPr="009E4DAF">
        <w:rPr>
          <w:rFonts w:ascii="LindeDaxOffice Medium" w:hAnsi="LindeDaxOffice Medium"/>
          <w:b/>
          <w:bCs/>
          <w:color w:val="000000" w:themeColor="text1"/>
        </w:rPr>
        <w:t>Envasado por:</w:t>
      </w:r>
      <w:r w:rsidRPr="009E4DAF">
        <w:rPr>
          <w:rFonts w:ascii="LindeDaxOffice Medium" w:hAnsi="LindeDaxOffice Medium"/>
          <w:color w:val="000000" w:themeColor="text1"/>
        </w:rPr>
        <w:t xml:space="preserve"> </w:t>
      </w:r>
      <w:r w:rsidRPr="00C1489A">
        <w:rPr>
          <w:rFonts w:ascii="LindeDaxOffice Medium" w:hAnsi="LindeDaxOffice Medium"/>
          <w:color w:val="000000" w:themeColor="text1"/>
        </w:rPr>
        <w:t>White Martins Gases Industriais Ltda. CNPJ: 35.820.448/0213-03</w:t>
      </w:r>
      <w:r>
        <w:rPr>
          <w:rFonts w:ascii="LindeDaxOffice Medium" w:hAnsi="LindeDaxOffice Medium"/>
          <w:color w:val="000000" w:themeColor="text1"/>
        </w:rPr>
        <w:t xml:space="preserve">, </w:t>
      </w:r>
      <w:r w:rsidRPr="00C1489A">
        <w:rPr>
          <w:rFonts w:ascii="LindeDaxOffice Medium" w:hAnsi="LindeDaxOffice Medium"/>
          <w:color w:val="000000" w:themeColor="text1"/>
        </w:rPr>
        <w:t>Rua Iracema Lucas, 255</w:t>
      </w:r>
      <w:r>
        <w:rPr>
          <w:rFonts w:ascii="LindeDaxOffice Medium" w:hAnsi="LindeDaxOffice Medium"/>
          <w:color w:val="000000" w:themeColor="text1"/>
        </w:rPr>
        <w:t>,</w:t>
      </w:r>
      <w:r w:rsidRPr="00C1489A">
        <w:rPr>
          <w:rFonts w:ascii="LindeDaxOffice Medium" w:hAnsi="LindeDaxOffice Medium"/>
          <w:color w:val="000000" w:themeColor="text1"/>
        </w:rPr>
        <w:t xml:space="preserve"> Distrito Industrial Benedito Storani</w:t>
      </w:r>
      <w:r>
        <w:rPr>
          <w:rFonts w:ascii="LindeDaxOffice Medium" w:hAnsi="LindeDaxOffice Medium"/>
          <w:color w:val="000000" w:themeColor="text1"/>
        </w:rPr>
        <w:t>,</w:t>
      </w:r>
      <w:r w:rsidRPr="00C1489A">
        <w:rPr>
          <w:rFonts w:ascii="LindeDaxOffice Medium" w:hAnsi="LindeDaxOffice Medium"/>
          <w:color w:val="000000" w:themeColor="text1"/>
        </w:rPr>
        <w:t xml:space="preserve"> Vinhedo/SP</w:t>
      </w:r>
      <w:r>
        <w:rPr>
          <w:rFonts w:ascii="LindeDaxOffice Medium" w:hAnsi="LindeDaxOffice Medium"/>
          <w:color w:val="000000" w:themeColor="text1"/>
        </w:rPr>
        <w:t xml:space="preserve">, </w:t>
      </w:r>
      <w:r w:rsidRPr="00C1489A">
        <w:rPr>
          <w:rFonts w:ascii="LindeDaxOffice Medium" w:hAnsi="LindeDaxOffice Medium"/>
          <w:color w:val="000000" w:themeColor="text1"/>
        </w:rPr>
        <w:t>CEP: 13288-172</w:t>
      </w:r>
      <w:r w:rsidRPr="009E4DAF">
        <w:rPr>
          <w:rFonts w:ascii="LindeDaxOffice Medium" w:hAnsi="LindeDaxOffice Medium"/>
          <w:color w:val="000000" w:themeColor="text1"/>
        </w:rPr>
        <w:t>.</w:t>
      </w:r>
    </w:p>
    <w:p w14:paraId="12D09324" w14:textId="77777777" w:rsidR="00B50179" w:rsidRDefault="00B50179" w:rsidP="00B50179">
      <w:pPr>
        <w:rPr>
          <w:rFonts w:ascii="LindeDaxOffice Medium" w:hAnsi="LindeDaxOffice Medium"/>
          <w:color w:val="000000" w:themeColor="text1"/>
        </w:rPr>
      </w:pPr>
      <w:r w:rsidRPr="009E4DAF">
        <w:rPr>
          <w:rFonts w:ascii="LindeDaxOffice Medium" w:hAnsi="LindeDaxOffice Medium"/>
          <w:b/>
          <w:bCs/>
          <w:color w:val="000000" w:themeColor="text1"/>
        </w:rPr>
        <w:t xml:space="preserve">Farmacêutico Responsável: </w:t>
      </w:r>
      <w:r w:rsidRPr="009E4DAF">
        <w:rPr>
          <w:rFonts w:ascii="LindeDaxOffice Medium" w:hAnsi="LindeDaxOffice Medium"/>
          <w:color w:val="000000" w:themeColor="text1"/>
        </w:rPr>
        <w:t>Patricia E. M Pinto Malheiros</w:t>
      </w:r>
      <w:r>
        <w:rPr>
          <w:rFonts w:ascii="LindeDaxOffice Medium" w:hAnsi="LindeDaxOffice Medium"/>
          <w:color w:val="000000" w:themeColor="text1"/>
        </w:rPr>
        <w:t>,</w:t>
      </w:r>
      <w:r w:rsidRPr="009E4DAF">
        <w:rPr>
          <w:rFonts w:ascii="LindeDaxOffice Medium" w:hAnsi="LindeDaxOffice Medium"/>
          <w:color w:val="000000" w:themeColor="text1"/>
        </w:rPr>
        <w:t xml:space="preserve"> CRF</w:t>
      </w:r>
      <w:r>
        <w:rPr>
          <w:rFonts w:ascii="LindeDaxOffice Medium" w:hAnsi="LindeDaxOffice Medium"/>
          <w:color w:val="000000" w:themeColor="text1"/>
        </w:rPr>
        <w:t>-</w:t>
      </w:r>
      <w:r w:rsidRPr="009E4DAF">
        <w:rPr>
          <w:rFonts w:ascii="LindeDaxOffice Medium" w:hAnsi="LindeDaxOffice Medium"/>
          <w:color w:val="000000" w:themeColor="text1"/>
        </w:rPr>
        <w:t>RJ</w:t>
      </w:r>
      <w:r>
        <w:rPr>
          <w:rFonts w:ascii="LindeDaxOffice Medium" w:hAnsi="LindeDaxOffice Medium"/>
          <w:color w:val="000000" w:themeColor="text1"/>
        </w:rPr>
        <w:t xml:space="preserve"> </w:t>
      </w:r>
      <w:r w:rsidRPr="009E4DAF">
        <w:rPr>
          <w:rFonts w:ascii="LindeDaxOffice Medium" w:hAnsi="LindeDaxOffice Medium"/>
          <w:color w:val="000000" w:themeColor="text1"/>
        </w:rPr>
        <w:t>7384</w:t>
      </w:r>
      <w:r>
        <w:rPr>
          <w:rFonts w:ascii="LindeDaxOffice Medium" w:hAnsi="LindeDaxOffice Medium"/>
          <w:color w:val="000000" w:themeColor="text1"/>
        </w:rPr>
        <w:t>.</w:t>
      </w:r>
    </w:p>
    <w:p w14:paraId="66A98DB7" w14:textId="77777777" w:rsidR="00B50179" w:rsidRDefault="00B50179" w:rsidP="00B50179">
      <w:pPr>
        <w:rPr>
          <w:rFonts w:ascii="LindeDaxOffice Medium" w:hAnsi="LindeDaxOffice Medium"/>
        </w:rPr>
      </w:pPr>
      <w:r w:rsidRPr="00E349C1">
        <w:rPr>
          <w:rFonts w:ascii="LindeDaxOffice Medium" w:hAnsi="LindeDaxOffice Medium"/>
        </w:rPr>
        <w:t xml:space="preserve">A Ficha de </w:t>
      </w:r>
      <w:r>
        <w:rPr>
          <w:rFonts w:ascii="LindeDaxOffice Medium" w:hAnsi="LindeDaxOffice Medium"/>
        </w:rPr>
        <w:t>Dados</w:t>
      </w:r>
      <w:r w:rsidRPr="00E349C1">
        <w:rPr>
          <w:rFonts w:ascii="LindeDaxOffice Medium" w:hAnsi="LindeDaxOffice Medium"/>
        </w:rPr>
        <w:t xml:space="preserve"> de Segurança </w:t>
      </w:r>
      <w:r>
        <w:rPr>
          <w:rFonts w:ascii="LindeDaxOffice Medium" w:hAnsi="LindeDaxOffice Medium"/>
        </w:rPr>
        <w:t xml:space="preserve">(FDS) </w:t>
      </w:r>
      <w:r w:rsidRPr="00E349C1">
        <w:rPr>
          <w:rFonts w:ascii="LindeDaxOffice Medium" w:hAnsi="LindeDaxOffice Medium"/>
        </w:rPr>
        <w:t xml:space="preserve">deste produto químico perigoso pode ser obtida através da </w:t>
      </w:r>
      <w:r w:rsidRPr="00E349C1">
        <w:rPr>
          <w:rFonts w:ascii="LindeDaxOffice Medium" w:hAnsi="LindeDaxOffice Medium"/>
          <w:b/>
          <w:bCs/>
        </w:rPr>
        <w:t>Central de Atendimento 0800 709-9000 ou www.whitemartins.com.br</w:t>
      </w:r>
      <w:r w:rsidRPr="00E349C1">
        <w:rPr>
          <w:rFonts w:ascii="LindeDaxOffice Medium" w:hAnsi="LindeDaxOffice Medium"/>
        </w:rPr>
        <w:t>.</w:t>
      </w:r>
    </w:p>
    <w:p w14:paraId="11AE83D1" w14:textId="77777777" w:rsidR="00B50179" w:rsidRPr="00B2475F" w:rsidRDefault="00B50179" w:rsidP="00B50179">
      <w:pPr>
        <w:rPr>
          <w:rFonts w:ascii="LindeDaxOffice Medium" w:hAnsi="LindeDaxOffice Medium"/>
        </w:rPr>
      </w:pPr>
      <w:r>
        <w:rPr>
          <w:rFonts w:ascii="LindeDaxOffice Medium" w:hAnsi="LindeDaxOffice Medium"/>
        </w:rPr>
        <w:t>Em casos de emergências l</w:t>
      </w:r>
      <w:r w:rsidRPr="00E349C1">
        <w:rPr>
          <w:rFonts w:ascii="LindeDaxOffice Medium" w:hAnsi="LindeDaxOffice Medium"/>
        </w:rPr>
        <w:t>igue para 0800 709 9003</w:t>
      </w:r>
      <w:r>
        <w:rPr>
          <w:rFonts w:ascii="LindeDaxOffice Medium" w:hAnsi="LindeDaxOffice Medium"/>
        </w:rPr>
        <w:t>.</w:t>
      </w:r>
    </w:p>
    <w:p w14:paraId="75402CE9" w14:textId="77777777" w:rsidR="006E7794" w:rsidRDefault="006E7794" w:rsidP="00E84B86">
      <w:pPr>
        <w:jc w:val="both"/>
        <w:rPr>
          <w:rFonts w:ascii="LindeDaxOffice Medium" w:hAnsi="LindeDaxOffice Medium"/>
        </w:rPr>
      </w:pPr>
    </w:p>
    <w:p w14:paraId="6115AF6C" w14:textId="77777777" w:rsidR="00C147D9" w:rsidRDefault="00C147D9" w:rsidP="00E84B86">
      <w:pPr>
        <w:jc w:val="both"/>
        <w:rPr>
          <w:rFonts w:ascii="LindeDaxOffice Medium" w:hAnsi="LindeDaxOffice Medium"/>
        </w:rPr>
      </w:pPr>
    </w:p>
    <w:p w14:paraId="11DAAEB0" w14:textId="77777777" w:rsidR="00C147D9" w:rsidRDefault="00C147D9" w:rsidP="00E84B86">
      <w:pPr>
        <w:jc w:val="both"/>
        <w:rPr>
          <w:rFonts w:ascii="LindeDaxOffice Medium" w:hAnsi="LindeDaxOffice Medium"/>
        </w:rPr>
      </w:pPr>
    </w:p>
    <w:p w14:paraId="71FF1D3B" w14:textId="77777777" w:rsidR="00B20E7D" w:rsidRDefault="00B20E7D" w:rsidP="00E84B86">
      <w:pPr>
        <w:jc w:val="both"/>
        <w:rPr>
          <w:rFonts w:ascii="LindeDaxOffice Medium" w:hAnsi="LindeDaxOffice Medium"/>
        </w:rPr>
      </w:pPr>
    </w:p>
    <w:p w14:paraId="29064962" w14:textId="77777777" w:rsidR="00B20E7D" w:rsidRDefault="00B20E7D" w:rsidP="00E84B86">
      <w:pPr>
        <w:jc w:val="both"/>
        <w:rPr>
          <w:rFonts w:ascii="LindeDaxOffice Medium" w:hAnsi="LindeDaxOffice Medium"/>
        </w:rPr>
      </w:pPr>
    </w:p>
    <w:p w14:paraId="57DC1E2A" w14:textId="77777777" w:rsidR="00B20E7D" w:rsidRDefault="00B20E7D" w:rsidP="00E84B86">
      <w:pPr>
        <w:jc w:val="both"/>
        <w:rPr>
          <w:rFonts w:ascii="LindeDaxOffice Medium" w:hAnsi="LindeDaxOffice Medium"/>
        </w:rPr>
      </w:pPr>
    </w:p>
    <w:p w14:paraId="2CD21DD6" w14:textId="77777777" w:rsidR="00B20E7D" w:rsidRPr="007908F9" w:rsidRDefault="00B20E7D" w:rsidP="00E84B86">
      <w:pPr>
        <w:jc w:val="both"/>
        <w:rPr>
          <w:rFonts w:ascii="LindeDaxOffice Medium" w:hAnsi="LindeDaxOffice Medium"/>
        </w:rPr>
      </w:pPr>
    </w:p>
    <w:p w14:paraId="283C841B" w14:textId="77777777" w:rsidR="003A15E2" w:rsidRDefault="003A15E2" w:rsidP="00E84B86">
      <w:pPr>
        <w:jc w:val="both"/>
        <w:rPr>
          <w:rFonts w:ascii="LindeDaxOffice Medium" w:hAnsi="LindeDaxOffice Medium"/>
        </w:rPr>
      </w:pPr>
    </w:p>
    <w:p w14:paraId="7867DC82" w14:textId="77777777" w:rsidR="00AC05DC" w:rsidRDefault="00AC05DC" w:rsidP="00E84B86">
      <w:pPr>
        <w:jc w:val="both"/>
        <w:rPr>
          <w:rFonts w:ascii="LindeDaxOffice Medium" w:hAnsi="LindeDaxOffice Medium"/>
        </w:rPr>
      </w:pPr>
    </w:p>
    <w:p w14:paraId="20774DF3" w14:textId="77777777" w:rsidR="008500E4" w:rsidRPr="007908F9" w:rsidRDefault="008500E4" w:rsidP="008500E4">
      <w:pPr>
        <w:autoSpaceDE w:val="0"/>
        <w:autoSpaceDN w:val="0"/>
        <w:adjustRightInd w:val="0"/>
        <w:jc w:val="both"/>
        <w:rPr>
          <w:rFonts w:ascii="LindeDaxOffice Medium" w:hAnsi="LindeDaxOffice Medium"/>
          <w:b/>
          <w:caps/>
        </w:rPr>
      </w:pPr>
      <w:r w:rsidRPr="007908F9">
        <w:rPr>
          <w:rFonts w:ascii="LindeDaxOffice Medium" w:hAnsi="LindeDaxOffice Medium"/>
          <w:b/>
          <w:caps/>
        </w:rPr>
        <w:lastRenderedPageBreak/>
        <w:t>Esta página não deve ser impressa, é apenas para controle do histórico de versões.</w:t>
      </w:r>
    </w:p>
    <w:p w14:paraId="1BF631A8" w14:textId="77777777" w:rsidR="008500E4" w:rsidRPr="007908F9" w:rsidRDefault="008500E4" w:rsidP="008500E4">
      <w:pPr>
        <w:tabs>
          <w:tab w:val="left" w:pos="4287"/>
        </w:tabs>
        <w:autoSpaceDE w:val="0"/>
        <w:autoSpaceDN w:val="0"/>
        <w:adjustRightInd w:val="0"/>
        <w:jc w:val="both"/>
        <w:rPr>
          <w:rFonts w:ascii="LindeDaxOffice Medium" w:hAnsi="LindeDaxOffice Medium"/>
          <w:b/>
          <w:caps/>
        </w:rPr>
      </w:pPr>
      <w:r w:rsidRPr="007908F9">
        <w:rPr>
          <w:rFonts w:ascii="LindeDaxOffice Medium" w:hAnsi="LindeDaxOffice Medium"/>
          <w:b/>
          <w:caps/>
        </w:rPr>
        <w:tab/>
      </w:r>
    </w:p>
    <w:p w14:paraId="4EDBAD5B" w14:textId="77777777" w:rsidR="008500E4" w:rsidRPr="007908F9" w:rsidRDefault="008500E4" w:rsidP="008500E4">
      <w:pPr>
        <w:autoSpaceDE w:val="0"/>
        <w:autoSpaceDN w:val="0"/>
        <w:adjustRightInd w:val="0"/>
        <w:jc w:val="both"/>
        <w:rPr>
          <w:rFonts w:ascii="LindeDaxOffice Medium" w:hAnsi="LindeDaxOffice Medium"/>
          <w:b/>
          <w:caps/>
        </w:rPr>
      </w:pPr>
      <w:r w:rsidRPr="007908F9">
        <w:rPr>
          <w:rFonts w:ascii="LindeDaxOffice Medium" w:hAnsi="LindeDaxOffice Medium"/>
          <w:b/>
          <w:caps/>
        </w:rPr>
        <w:t>Histórico de Versões</w:t>
      </w:r>
    </w:p>
    <w:p w14:paraId="5C966628" w14:textId="77777777" w:rsidR="008500E4" w:rsidRPr="007908F9" w:rsidRDefault="008500E4" w:rsidP="008500E4">
      <w:pPr>
        <w:autoSpaceDE w:val="0"/>
        <w:autoSpaceDN w:val="0"/>
        <w:adjustRightInd w:val="0"/>
        <w:jc w:val="both"/>
        <w:rPr>
          <w:rFonts w:ascii="LindeDaxOffice Medium" w:hAnsi="LindeDaxOffice Medium"/>
        </w:rPr>
      </w:pPr>
    </w:p>
    <w:tbl>
      <w:tblPr>
        <w:tblW w:w="977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353"/>
        <w:gridCol w:w="6391"/>
      </w:tblGrid>
      <w:tr w:rsidR="003A15E2" w:rsidRPr="007908F9" w14:paraId="11B6888C" w14:textId="77777777" w:rsidTr="00D524CC">
        <w:trPr>
          <w:trHeight w:val="256"/>
        </w:trPr>
        <w:tc>
          <w:tcPr>
            <w:tcW w:w="2035" w:type="dxa"/>
            <w:shd w:val="clear" w:color="auto" w:fill="auto"/>
            <w:noWrap/>
            <w:vAlign w:val="bottom"/>
            <w:hideMark/>
          </w:tcPr>
          <w:p w14:paraId="10D9EE2B" w14:textId="77777777" w:rsidR="008500E4" w:rsidRPr="007908F9" w:rsidRDefault="008500E4" w:rsidP="00D524CC">
            <w:pPr>
              <w:jc w:val="center"/>
              <w:rPr>
                <w:rFonts w:ascii="LindeDaxOffice Medium" w:hAnsi="LindeDaxOffice Medium"/>
                <w:b/>
                <w:bCs/>
              </w:rPr>
            </w:pPr>
            <w:r w:rsidRPr="007908F9">
              <w:rPr>
                <w:rFonts w:ascii="LindeDaxOffice Medium" w:hAnsi="LindeDaxOffice Medium"/>
                <w:b/>
                <w:bCs/>
              </w:rPr>
              <w:t xml:space="preserve">Revisão </w:t>
            </w:r>
          </w:p>
        </w:tc>
        <w:tc>
          <w:tcPr>
            <w:tcW w:w="1353" w:type="dxa"/>
            <w:shd w:val="clear" w:color="auto" w:fill="auto"/>
            <w:noWrap/>
            <w:vAlign w:val="bottom"/>
            <w:hideMark/>
          </w:tcPr>
          <w:p w14:paraId="13928EBD" w14:textId="77777777" w:rsidR="008500E4" w:rsidRPr="007908F9" w:rsidRDefault="008500E4" w:rsidP="00D524CC">
            <w:pPr>
              <w:jc w:val="center"/>
              <w:rPr>
                <w:rFonts w:ascii="LindeDaxOffice Medium" w:hAnsi="LindeDaxOffice Medium"/>
                <w:b/>
                <w:bCs/>
              </w:rPr>
            </w:pPr>
            <w:r w:rsidRPr="007908F9">
              <w:rPr>
                <w:rFonts w:ascii="LindeDaxOffice Medium" w:hAnsi="LindeDaxOffice Medium"/>
                <w:b/>
                <w:bCs/>
              </w:rPr>
              <w:t>Data</w:t>
            </w:r>
          </w:p>
        </w:tc>
        <w:tc>
          <w:tcPr>
            <w:tcW w:w="6391" w:type="dxa"/>
            <w:shd w:val="clear" w:color="auto" w:fill="auto"/>
            <w:noWrap/>
            <w:vAlign w:val="bottom"/>
            <w:hideMark/>
          </w:tcPr>
          <w:p w14:paraId="787A9517" w14:textId="77777777" w:rsidR="008500E4" w:rsidRPr="007908F9" w:rsidRDefault="008500E4" w:rsidP="00D524CC">
            <w:pPr>
              <w:jc w:val="center"/>
              <w:rPr>
                <w:rFonts w:ascii="LindeDaxOffice Medium" w:hAnsi="LindeDaxOffice Medium"/>
                <w:b/>
                <w:bCs/>
              </w:rPr>
            </w:pPr>
            <w:r w:rsidRPr="007908F9">
              <w:rPr>
                <w:rFonts w:ascii="LindeDaxOffice Medium" w:hAnsi="LindeDaxOffice Medium"/>
                <w:b/>
                <w:bCs/>
              </w:rPr>
              <w:t>Descrição das Alterações</w:t>
            </w:r>
          </w:p>
        </w:tc>
      </w:tr>
      <w:tr w:rsidR="003A15E2" w:rsidRPr="007908F9" w14:paraId="5EC5A433" w14:textId="77777777" w:rsidTr="00D524CC">
        <w:trPr>
          <w:trHeight w:val="758"/>
        </w:trPr>
        <w:tc>
          <w:tcPr>
            <w:tcW w:w="2035" w:type="dxa"/>
            <w:shd w:val="clear" w:color="auto" w:fill="auto"/>
            <w:noWrap/>
            <w:vAlign w:val="center"/>
          </w:tcPr>
          <w:p w14:paraId="22A119A2" w14:textId="77777777" w:rsidR="008500E4" w:rsidRPr="007908F9" w:rsidRDefault="008500E4" w:rsidP="00D524CC">
            <w:pPr>
              <w:jc w:val="center"/>
              <w:rPr>
                <w:rFonts w:ascii="LindeDaxOffice Medium" w:hAnsi="LindeDaxOffice Medium"/>
              </w:rPr>
            </w:pPr>
            <w:r w:rsidRPr="007908F9">
              <w:rPr>
                <w:rFonts w:ascii="LindeDaxOffice Medium" w:hAnsi="LindeDaxOffice Medium"/>
              </w:rPr>
              <w:t>02</w:t>
            </w:r>
          </w:p>
        </w:tc>
        <w:tc>
          <w:tcPr>
            <w:tcW w:w="1353" w:type="dxa"/>
            <w:shd w:val="clear" w:color="auto" w:fill="auto"/>
            <w:noWrap/>
            <w:vAlign w:val="center"/>
          </w:tcPr>
          <w:p w14:paraId="19612D3A" w14:textId="77777777" w:rsidR="008500E4" w:rsidRPr="007908F9" w:rsidRDefault="008500E4" w:rsidP="00D524CC">
            <w:pPr>
              <w:jc w:val="center"/>
              <w:rPr>
                <w:rFonts w:ascii="LindeDaxOffice Medium" w:hAnsi="LindeDaxOffice Medium"/>
              </w:rPr>
            </w:pPr>
            <w:r w:rsidRPr="007908F9">
              <w:rPr>
                <w:rFonts w:ascii="LindeDaxOffice Medium" w:hAnsi="LindeDaxOffice Medium"/>
              </w:rPr>
              <w:t>12/06/2026</w:t>
            </w:r>
          </w:p>
        </w:tc>
        <w:tc>
          <w:tcPr>
            <w:tcW w:w="6391" w:type="dxa"/>
            <w:shd w:val="clear" w:color="auto" w:fill="auto"/>
            <w:noWrap/>
            <w:vAlign w:val="center"/>
          </w:tcPr>
          <w:p w14:paraId="4010C796" w14:textId="560774EB" w:rsidR="008500E4" w:rsidRPr="007908F9" w:rsidRDefault="00D62770" w:rsidP="006309A8">
            <w:pPr>
              <w:spacing w:after="0"/>
              <w:jc w:val="both"/>
              <w:rPr>
                <w:rFonts w:ascii="LindeDaxOffice Medium" w:hAnsi="LindeDaxOffice Medium"/>
              </w:rPr>
            </w:pPr>
            <w:r>
              <w:rPr>
                <w:rFonts w:ascii="LindeDaxOffice Medium" w:hAnsi="LindeDaxOffice Medium"/>
                <w:color w:val="000000"/>
                <w:szCs w:val="20"/>
              </w:rPr>
              <w:t>Inclusão do documento no PGI. Inclusão do item Perigo. Atualização ds capacidade do cilindro,</w:t>
            </w:r>
            <w:r w:rsidR="00686E02">
              <w:rPr>
                <w:rFonts w:ascii="LindeDaxOffice Medium" w:hAnsi="LindeDaxOffice Medium"/>
                <w:color w:val="000000"/>
                <w:szCs w:val="20"/>
              </w:rPr>
              <w:t xml:space="preserve"> do prazo de validade conforme estudo de estabilidade, </w:t>
            </w:r>
            <w:r>
              <w:rPr>
                <w:rFonts w:ascii="LindeDaxOffice Medium" w:hAnsi="LindeDaxOffice Medium"/>
                <w:color w:val="000000"/>
                <w:szCs w:val="20"/>
              </w:rPr>
              <w:t xml:space="preserve">dos dados das empresas </w:t>
            </w:r>
            <w:r w:rsidR="0078313A">
              <w:rPr>
                <w:rFonts w:ascii="LindeDaxOffice Medium" w:hAnsi="LindeDaxOffice Medium"/>
                <w:color w:val="000000"/>
                <w:szCs w:val="20"/>
              </w:rPr>
              <w:t>detentora do registro</w:t>
            </w:r>
            <w:r>
              <w:rPr>
                <w:rFonts w:ascii="LindeDaxOffice Medium" w:hAnsi="LindeDaxOffice Medium"/>
                <w:color w:val="000000"/>
                <w:szCs w:val="20"/>
              </w:rPr>
              <w:t xml:space="preserve"> e envasadora. Reorganização na ordem dos itens conforme ordem do Anexo </w:t>
            </w:r>
            <w:r w:rsidR="003A04D7">
              <w:rPr>
                <w:rFonts w:ascii="LindeDaxOffice Medium" w:hAnsi="LindeDaxOffice Medium"/>
                <w:color w:val="000000"/>
                <w:szCs w:val="20"/>
              </w:rPr>
              <w:t>III</w:t>
            </w:r>
            <w:r>
              <w:rPr>
                <w:rFonts w:ascii="LindeDaxOffice Medium" w:hAnsi="LindeDaxOffice Medium"/>
                <w:color w:val="000000"/>
                <w:szCs w:val="20"/>
              </w:rPr>
              <w:t xml:space="preserve"> da RDC 870/2024. Não houve alteração do conteúdo das demais informações que continuam conforme</w:t>
            </w:r>
            <w:r w:rsidR="002F1C97">
              <w:rPr>
                <w:rFonts w:ascii="LindeDaxOffice Medium" w:hAnsi="LindeDaxOffice Medium"/>
                <w:color w:val="000000"/>
                <w:szCs w:val="20"/>
              </w:rPr>
              <w:t xml:space="preserve"> </w:t>
            </w:r>
            <w:r w:rsidR="008500E4" w:rsidRPr="007908F9">
              <w:rPr>
                <w:rFonts w:ascii="LindeDaxOffice Medium" w:hAnsi="LindeDaxOffice Medium"/>
              </w:rPr>
              <w:t xml:space="preserve">CD-28766 </w:t>
            </w:r>
            <w:r w:rsidR="00EA7561" w:rsidRPr="007908F9">
              <w:rPr>
                <w:rFonts w:ascii="LindeDaxOffice Medium" w:hAnsi="LindeDaxOffice Medium"/>
              </w:rPr>
              <w:t>CD-29059 Rev 3 – 20/06/2025</w:t>
            </w:r>
            <w:r w:rsidR="008500E4" w:rsidRPr="007908F9">
              <w:rPr>
                <w:rFonts w:ascii="LindeDaxOffice Medium" w:hAnsi="LindeDaxOffice Medium"/>
              </w:rPr>
              <w:t>.</w:t>
            </w:r>
          </w:p>
        </w:tc>
      </w:tr>
      <w:tr w:rsidR="003A15E2" w:rsidRPr="007908F9" w14:paraId="7E0FDF9C" w14:textId="77777777" w:rsidTr="00D524CC">
        <w:trPr>
          <w:trHeight w:val="819"/>
        </w:trPr>
        <w:tc>
          <w:tcPr>
            <w:tcW w:w="2035" w:type="dxa"/>
            <w:shd w:val="clear" w:color="auto" w:fill="auto"/>
            <w:noWrap/>
            <w:vAlign w:val="center"/>
          </w:tcPr>
          <w:p w14:paraId="5F392925" w14:textId="77777777" w:rsidR="008500E4" w:rsidRPr="007908F9" w:rsidRDefault="008500E4" w:rsidP="00D524CC">
            <w:pPr>
              <w:jc w:val="center"/>
              <w:rPr>
                <w:rFonts w:ascii="LindeDaxOffice Medium" w:hAnsi="LindeDaxOffice Medium"/>
              </w:rPr>
            </w:pPr>
            <w:r w:rsidRPr="007908F9">
              <w:rPr>
                <w:rFonts w:ascii="LindeDaxOffice Medium" w:hAnsi="LindeDaxOffice Medium"/>
              </w:rPr>
              <w:t>01</w:t>
            </w:r>
          </w:p>
        </w:tc>
        <w:tc>
          <w:tcPr>
            <w:tcW w:w="1353" w:type="dxa"/>
            <w:shd w:val="clear" w:color="auto" w:fill="auto"/>
            <w:noWrap/>
            <w:vAlign w:val="center"/>
          </w:tcPr>
          <w:p w14:paraId="2EEC4A82" w14:textId="08C9A466" w:rsidR="008500E4" w:rsidRPr="007908F9" w:rsidRDefault="008500E4" w:rsidP="00D524CC">
            <w:pPr>
              <w:jc w:val="center"/>
              <w:rPr>
                <w:rFonts w:ascii="LindeDaxOffice Medium" w:hAnsi="LindeDaxOffice Medium"/>
              </w:rPr>
            </w:pPr>
            <w:r w:rsidRPr="007908F9">
              <w:rPr>
                <w:rFonts w:ascii="LindeDaxOffice Medium" w:hAnsi="LindeDaxOffice Medium"/>
              </w:rPr>
              <w:t>11/07/2025</w:t>
            </w:r>
          </w:p>
        </w:tc>
        <w:tc>
          <w:tcPr>
            <w:tcW w:w="6391" w:type="dxa"/>
            <w:shd w:val="clear" w:color="auto" w:fill="auto"/>
            <w:noWrap/>
            <w:vAlign w:val="center"/>
          </w:tcPr>
          <w:p w14:paraId="39F31D71" w14:textId="77777777" w:rsidR="008500E4" w:rsidRPr="007908F9" w:rsidRDefault="008500E4" w:rsidP="00D524CC">
            <w:pPr>
              <w:spacing w:after="0"/>
              <w:jc w:val="both"/>
              <w:rPr>
                <w:rFonts w:ascii="LindeDaxOffice Medium" w:hAnsi="LindeDaxOffice Medium"/>
              </w:rPr>
            </w:pPr>
            <w:r w:rsidRPr="007908F9">
              <w:rPr>
                <w:rFonts w:ascii="LindeDaxOffice Medium" w:hAnsi="LindeDaxOffice Medium"/>
              </w:rPr>
              <w:t>Incluído histórico de versões.</w:t>
            </w:r>
          </w:p>
          <w:p w14:paraId="3EBD4514" w14:textId="5294A85F" w:rsidR="008500E4" w:rsidRPr="007908F9" w:rsidRDefault="008500E4" w:rsidP="00D524CC">
            <w:pPr>
              <w:jc w:val="both"/>
              <w:rPr>
                <w:rFonts w:ascii="LindeDaxOffice Medium" w:hAnsi="LindeDaxOffice Medium"/>
              </w:rPr>
            </w:pPr>
            <w:r w:rsidRPr="007908F9">
              <w:rPr>
                <w:rFonts w:ascii="LindeDaxOffice Medium" w:hAnsi="LindeDaxOffice Medium"/>
              </w:rPr>
              <w:t xml:space="preserve">Harmonização ao </w:t>
            </w:r>
            <w:r w:rsidR="00EA7561" w:rsidRPr="007908F9">
              <w:rPr>
                <w:rFonts w:ascii="LindeDaxOffice Medium" w:hAnsi="LindeDaxOffice Medium"/>
              </w:rPr>
              <w:t>CD-29059 Rev 3 – 20/06/2025</w:t>
            </w:r>
            <w:r w:rsidRPr="007908F9">
              <w:rPr>
                <w:rFonts w:ascii="LindeDaxOffice Medium" w:hAnsi="LindeDaxOffice Medium"/>
              </w:rPr>
              <w:t>, à RDC 870/2024 e à IN 301/2024.</w:t>
            </w:r>
          </w:p>
        </w:tc>
      </w:tr>
    </w:tbl>
    <w:p w14:paraId="42027196" w14:textId="77777777" w:rsidR="008500E4" w:rsidRPr="007908F9" w:rsidRDefault="008500E4" w:rsidP="008500E4">
      <w:pPr>
        <w:rPr>
          <w:rFonts w:ascii="LindeDaxOffice Medium" w:hAnsi="LindeDaxOffice Medium"/>
        </w:rPr>
      </w:pPr>
    </w:p>
    <w:p w14:paraId="01D6FBF1" w14:textId="77777777" w:rsidR="00F415D1" w:rsidRPr="007908F9" w:rsidRDefault="00F415D1" w:rsidP="00E84B86">
      <w:pPr>
        <w:jc w:val="both"/>
        <w:rPr>
          <w:rFonts w:ascii="LindeDaxOffice Medium" w:hAnsi="LindeDaxOffice Medium"/>
        </w:rPr>
      </w:pPr>
    </w:p>
    <w:sectPr w:rsidR="00F415D1" w:rsidRPr="007908F9" w:rsidSect="00C451F2">
      <w:headerReference w:type="default" r:id="rId10"/>
      <w:footerReference w:type="default" r:id="rId11"/>
      <w:pgSz w:w="11906" w:h="16838"/>
      <w:pgMar w:top="56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9734" w14:textId="77777777" w:rsidR="00D839D6" w:rsidRDefault="00D839D6" w:rsidP="00D06283">
      <w:pPr>
        <w:spacing w:after="0" w:line="240" w:lineRule="auto"/>
      </w:pPr>
      <w:r>
        <w:separator/>
      </w:r>
    </w:p>
  </w:endnote>
  <w:endnote w:type="continuationSeparator" w:id="0">
    <w:p w14:paraId="6F9D01CA" w14:textId="77777777" w:rsidR="00D839D6" w:rsidRDefault="00D839D6" w:rsidP="00D0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ndeDaxOffice Medium">
    <w:panose1 w:val="020B0600000000020000"/>
    <w:charset w:val="00"/>
    <w:family w:val="swiss"/>
    <w:pitch w:val="variable"/>
    <w:sig w:usb0="800000AF" w:usb1="50002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E1B" w14:textId="113E1F5B" w:rsidR="00F415D1" w:rsidRPr="00564AA5" w:rsidRDefault="00F415D1" w:rsidP="00F415D1">
    <w:pPr>
      <w:pStyle w:val="Footer"/>
      <w:rPr>
        <w:rFonts w:ascii="LindeDaxOffice Medium" w:hAnsi="LindeDaxOffice Medium"/>
        <w:sz w:val="18"/>
        <w:szCs w:val="18"/>
      </w:rPr>
    </w:pPr>
    <w:r w:rsidRPr="00564AA5">
      <w:rPr>
        <w:rFonts w:ascii="LindeDaxOffice Medium" w:hAnsi="LindeDaxOffice Medium"/>
        <w:sz w:val="18"/>
        <w:szCs w:val="18"/>
      </w:rPr>
      <w:t>wmpa03601 Form 12</w:t>
    </w:r>
    <w:r>
      <w:rPr>
        <w:rFonts w:ascii="LindeDaxOffice Medium" w:hAnsi="LindeDaxOffice Medium"/>
        <w:sz w:val="18"/>
        <w:szCs w:val="18"/>
      </w:rPr>
      <w:t>9</w:t>
    </w:r>
    <w:r>
      <w:rPr>
        <w:rFonts w:ascii="LindeDaxOffice Medium" w:hAnsi="LindeDaxOffice Medium"/>
        <w:sz w:val="18"/>
        <w:szCs w:val="18"/>
      </w:rPr>
      <w:tab/>
    </w:r>
    <w:r>
      <w:rPr>
        <w:rFonts w:ascii="LindeDaxOffice Medium" w:hAnsi="LindeDaxOffice Medium"/>
        <w:sz w:val="18"/>
        <w:szCs w:val="18"/>
      </w:rPr>
      <w:tab/>
    </w:r>
    <w:r>
      <w:rPr>
        <w:rFonts w:ascii="LindeDaxOffice Medium" w:hAnsi="LindeDaxOffice Medium"/>
        <w:sz w:val="18"/>
        <w:szCs w:val="18"/>
      </w:rPr>
      <w:tab/>
      <w:t xml:space="preserve">Pág. </w:t>
    </w:r>
    <w:r w:rsidRPr="000D516F">
      <w:rPr>
        <w:rFonts w:ascii="LindeDaxOffice Medium" w:hAnsi="LindeDaxOffice Medium"/>
        <w:sz w:val="18"/>
        <w:szCs w:val="18"/>
      </w:rPr>
      <w:fldChar w:fldCharType="begin"/>
    </w:r>
    <w:r w:rsidRPr="000D516F">
      <w:rPr>
        <w:rFonts w:ascii="LindeDaxOffice Medium" w:hAnsi="LindeDaxOffice Medium"/>
        <w:sz w:val="18"/>
        <w:szCs w:val="18"/>
      </w:rPr>
      <w:instrText xml:space="preserve"> PAGE   \* MERGEFORMAT </w:instrText>
    </w:r>
    <w:r w:rsidRPr="000D516F">
      <w:rPr>
        <w:rFonts w:ascii="LindeDaxOffice Medium" w:hAnsi="LindeDaxOffice Medium"/>
        <w:sz w:val="18"/>
        <w:szCs w:val="18"/>
      </w:rPr>
      <w:fldChar w:fldCharType="separate"/>
    </w:r>
    <w:r>
      <w:rPr>
        <w:rFonts w:ascii="LindeDaxOffice Medium" w:hAnsi="LindeDaxOffice Medium"/>
        <w:sz w:val="18"/>
        <w:szCs w:val="18"/>
      </w:rPr>
      <w:t>1</w:t>
    </w:r>
    <w:r w:rsidRPr="000D516F">
      <w:rPr>
        <w:rFonts w:ascii="LindeDaxOffice Medium" w:hAnsi="LindeDaxOffice Medium"/>
        <w:noProof/>
        <w:sz w:val="18"/>
        <w:szCs w:val="18"/>
      </w:rPr>
      <w:fldChar w:fldCharType="end"/>
    </w:r>
    <w:r>
      <w:rPr>
        <w:rFonts w:ascii="LindeDaxOffice Medium" w:hAnsi="LindeDaxOffice Medium"/>
        <w:noProof/>
        <w:sz w:val="18"/>
        <w:szCs w:val="18"/>
      </w:rPr>
      <w:t>/3</w:t>
    </w:r>
  </w:p>
  <w:p w14:paraId="71AE6352" w14:textId="190580FC" w:rsidR="00F415D1" w:rsidRPr="00F415D1" w:rsidRDefault="00F540B7">
    <w:pPr>
      <w:pStyle w:val="Footer"/>
      <w:rPr>
        <w:rFonts w:ascii="LindeDaxOffice Medium" w:hAnsi="LindeDaxOffice Medium"/>
        <w:sz w:val="18"/>
        <w:szCs w:val="18"/>
      </w:rPr>
    </w:pPr>
    <w:r w:rsidRPr="00564AA5">
      <w:rPr>
        <w:rFonts w:ascii="LindeDaxOffice Medium" w:hAnsi="LindeDaxOffice Medium"/>
        <w:sz w:val="18"/>
        <w:szCs w:val="18"/>
      </w:rPr>
      <w:t xml:space="preserve">Ficha Técnica </w:t>
    </w:r>
    <w:r>
      <w:rPr>
        <w:rFonts w:ascii="LindeDaxOffice Medium" w:hAnsi="LindeDaxOffice Medium"/>
        <w:sz w:val="18"/>
        <w:szCs w:val="18"/>
      </w:rPr>
      <w:t>–</w:t>
    </w:r>
    <w:r w:rsidRPr="00564AA5">
      <w:rPr>
        <w:rFonts w:ascii="LindeDaxOffice Medium" w:hAnsi="LindeDaxOffice Medium"/>
        <w:sz w:val="18"/>
        <w:szCs w:val="18"/>
      </w:rPr>
      <w:t xml:space="preserve"> </w:t>
    </w:r>
    <w:r>
      <w:rPr>
        <w:rFonts w:ascii="LindeDaxOffice Medium" w:hAnsi="LindeDaxOffice Medium"/>
        <w:sz w:val="18"/>
        <w:szCs w:val="18"/>
      </w:rPr>
      <w:t>Texto do Rótulo – Folheto Informativo</w:t>
    </w:r>
    <w:r w:rsidRPr="00564AA5">
      <w:rPr>
        <w:rFonts w:ascii="LindeDaxOffice Medium" w:hAnsi="LindeDaxOffice Medium"/>
        <w:sz w:val="18"/>
        <w:szCs w:val="18"/>
      </w:rPr>
      <w:t xml:space="preserve"> </w:t>
    </w:r>
    <w:r>
      <w:rPr>
        <w:rFonts w:ascii="LindeDaxOffice Medium" w:hAnsi="LindeDaxOffice Medium"/>
        <w:sz w:val="18"/>
        <w:szCs w:val="18"/>
      </w:rPr>
      <w:t>–</w:t>
    </w:r>
    <w:r w:rsidRPr="00564AA5">
      <w:rPr>
        <w:rFonts w:ascii="LindeDaxOffice Medium" w:hAnsi="LindeDaxOffice Medium"/>
        <w:sz w:val="18"/>
        <w:szCs w:val="18"/>
      </w:rPr>
      <w:t xml:space="preserve"> </w:t>
    </w:r>
    <w:r w:rsidR="00F415D1">
      <w:rPr>
        <w:rFonts w:ascii="LindeDaxOffice Medium" w:hAnsi="LindeDaxOffice Medium"/>
        <w:sz w:val="18"/>
        <w:szCs w:val="18"/>
      </w:rPr>
      <w:t>Óxido Nítrico Medicinal</w:t>
    </w:r>
    <w:r w:rsidR="00F415D1" w:rsidRPr="00564AA5">
      <w:rPr>
        <w:rFonts w:ascii="LindeDaxOffice Medium" w:hAnsi="LindeDaxOffice Medium"/>
        <w:sz w:val="18"/>
        <w:szCs w:val="18"/>
      </w:rPr>
      <w:t xml:space="preserve"> </w:t>
    </w:r>
    <w:r w:rsidR="008C2A5F">
      <w:rPr>
        <w:rFonts w:ascii="LindeDaxOffice Medium" w:hAnsi="LindeDaxOffice Medium"/>
        <w:sz w:val="18"/>
        <w:szCs w:val="18"/>
      </w:rPr>
      <w:t xml:space="preserve">- NO 500 ppm </w:t>
    </w:r>
    <w:r w:rsidR="00F415D1" w:rsidRPr="00564AA5">
      <w:rPr>
        <w:rFonts w:ascii="LindeDaxOffice Medium" w:hAnsi="LindeDaxOffice Medium"/>
        <w:sz w:val="18"/>
        <w:szCs w:val="18"/>
      </w:rPr>
      <w:t>- Rev 0</w:t>
    </w:r>
    <w:r w:rsidR="00F415D1">
      <w:rPr>
        <w:rFonts w:ascii="LindeDaxOffice Medium" w:hAnsi="LindeDaxOffice Medium"/>
        <w:sz w:val="18"/>
        <w:szCs w:val="18"/>
      </w:rPr>
      <w:t>2</w:t>
    </w:r>
    <w:r w:rsidR="00F415D1" w:rsidRPr="00564AA5">
      <w:rPr>
        <w:rFonts w:ascii="LindeDaxOffice Medium" w:hAnsi="LindeDaxOffice Medium"/>
        <w:sz w:val="18"/>
        <w:szCs w:val="18"/>
      </w:rPr>
      <w:t xml:space="preserve"> - 0</w:t>
    </w:r>
    <w:r w:rsidR="00F415D1">
      <w:rPr>
        <w:rFonts w:ascii="LindeDaxOffice Medium" w:hAnsi="LindeDaxOffice Medium"/>
        <w:sz w:val="18"/>
        <w:szCs w:val="18"/>
      </w:rPr>
      <w:t>6</w:t>
    </w:r>
    <w:r w:rsidR="00F415D1" w:rsidRPr="00564AA5">
      <w:rPr>
        <w:rFonts w:ascii="LindeDaxOffice Medium" w:hAnsi="LindeDaxOffice Medium"/>
        <w:sz w:val="18"/>
        <w:szCs w:val="18"/>
      </w:rPr>
      <w:t>/202</w:t>
    </w:r>
    <w:r w:rsidR="00F415D1">
      <w:rPr>
        <w:rFonts w:ascii="LindeDaxOffice Medium" w:hAnsi="LindeDaxOffice Medium"/>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FD0B" w14:textId="77777777" w:rsidR="00D839D6" w:rsidRDefault="00D839D6" w:rsidP="00D06283">
      <w:pPr>
        <w:spacing w:after="0" w:line="240" w:lineRule="auto"/>
      </w:pPr>
      <w:r>
        <w:separator/>
      </w:r>
    </w:p>
  </w:footnote>
  <w:footnote w:type="continuationSeparator" w:id="0">
    <w:p w14:paraId="54C28959" w14:textId="77777777" w:rsidR="00D839D6" w:rsidRDefault="00D839D6" w:rsidP="00D06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BD27" w14:textId="0BA6C6A8" w:rsidR="00D06283" w:rsidRPr="00D06283" w:rsidRDefault="00D06283" w:rsidP="00D06283">
    <w:pPr>
      <w:pStyle w:val="Header"/>
    </w:pPr>
    <w:r w:rsidRPr="00581C1F">
      <w:rPr>
        <w:noProof/>
      </w:rPr>
      <w:drawing>
        <wp:anchor distT="0" distB="0" distL="114300" distR="114300" simplePos="0" relativeHeight="251659264" behindDoc="0" locked="0" layoutInCell="1" allowOverlap="1" wp14:anchorId="2D8F0004" wp14:editId="62005971">
          <wp:simplePos x="0" y="0"/>
          <wp:positionH relativeFrom="column">
            <wp:posOffset>4923155</wp:posOffset>
          </wp:positionH>
          <wp:positionV relativeFrom="paragraph">
            <wp:posOffset>-202771</wp:posOffset>
          </wp:positionV>
          <wp:extent cx="1618615" cy="280670"/>
          <wp:effectExtent l="0" t="0" r="635" b="5080"/>
          <wp:wrapTopAndBottom/>
          <wp:docPr id="1287929430" name="Picture 1287929430"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47195" name="Picture 882347195" descr="A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2806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kabn7Tp7mmcG94HmGb4/4uzEuVUyS8DHJmP1wjR68fPLR5SF7pzgFESYcp8epZ8nOwrHIw3UpoE4UBoiKggWgQ==" w:salt="VSK3Dat7nAb5RR04KGuUG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B5"/>
    <w:rsid w:val="000066EB"/>
    <w:rsid w:val="000215EC"/>
    <w:rsid w:val="00025106"/>
    <w:rsid w:val="00055991"/>
    <w:rsid w:val="000600F8"/>
    <w:rsid w:val="00061D70"/>
    <w:rsid w:val="00063ADD"/>
    <w:rsid w:val="00071A7A"/>
    <w:rsid w:val="00076DE5"/>
    <w:rsid w:val="000F1AA2"/>
    <w:rsid w:val="000F38CB"/>
    <w:rsid w:val="001145DF"/>
    <w:rsid w:val="0014138A"/>
    <w:rsid w:val="00160A0C"/>
    <w:rsid w:val="00180794"/>
    <w:rsid w:val="00183B8B"/>
    <w:rsid w:val="001852D4"/>
    <w:rsid w:val="00194A75"/>
    <w:rsid w:val="00196FAB"/>
    <w:rsid w:val="001A1710"/>
    <w:rsid w:val="001A1E03"/>
    <w:rsid w:val="001A5C6B"/>
    <w:rsid w:val="001A6EFA"/>
    <w:rsid w:val="001C1AE4"/>
    <w:rsid w:val="001C3624"/>
    <w:rsid w:val="001D04CB"/>
    <w:rsid w:val="001D1D60"/>
    <w:rsid w:val="001F015B"/>
    <w:rsid w:val="00200713"/>
    <w:rsid w:val="00210CCD"/>
    <w:rsid w:val="00210D1A"/>
    <w:rsid w:val="00232C61"/>
    <w:rsid w:val="00236B63"/>
    <w:rsid w:val="00242BAB"/>
    <w:rsid w:val="002434B4"/>
    <w:rsid w:val="00260CD6"/>
    <w:rsid w:val="002748B7"/>
    <w:rsid w:val="00280458"/>
    <w:rsid w:val="0028309E"/>
    <w:rsid w:val="002866DD"/>
    <w:rsid w:val="00291FDD"/>
    <w:rsid w:val="002A307E"/>
    <w:rsid w:val="002B0D74"/>
    <w:rsid w:val="002C5785"/>
    <w:rsid w:val="002C6A5B"/>
    <w:rsid w:val="002F1C97"/>
    <w:rsid w:val="0030407E"/>
    <w:rsid w:val="00306365"/>
    <w:rsid w:val="0032755E"/>
    <w:rsid w:val="00331E0E"/>
    <w:rsid w:val="00332892"/>
    <w:rsid w:val="0034161C"/>
    <w:rsid w:val="003543E9"/>
    <w:rsid w:val="00360B6F"/>
    <w:rsid w:val="00363E65"/>
    <w:rsid w:val="003670F2"/>
    <w:rsid w:val="00375634"/>
    <w:rsid w:val="0037569E"/>
    <w:rsid w:val="00381F1B"/>
    <w:rsid w:val="00392C57"/>
    <w:rsid w:val="003A04D7"/>
    <w:rsid w:val="003A15E2"/>
    <w:rsid w:val="003A2D7F"/>
    <w:rsid w:val="003A34E2"/>
    <w:rsid w:val="003C42A3"/>
    <w:rsid w:val="003D5A92"/>
    <w:rsid w:val="003E1B69"/>
    <w:rsid w:val="003E6468"/>
    <w:rsid w:val="004301B4"/>
    <w:rsid w:val="00433DE2"/>
    <w:rsid w:val="00436E35"/>
    <w:rsid w:val="004441A1"/>
    <w:rsid w:val="00444B47"/>
    <w:rsid w:val="00450DE5"/>
    <w:rsid w:val="004544B1"/>
    <w:rsid w:val="00460B1A"/>
    <w:rsid w:val="00474C03"/>
    <w:rsid w:val="004850A7"/>
    <w:rsid w:val="00493ED4"/>
    <w:rsid w:val="004A0235"/>
    <w:rsid w:val="004A34B5"/>
    <w:rsid w:val="004A5B24"/>
    <w:rsid w:val="004B06CA"/>
    <w:rsid w:val="004B47DB"/>
    <w:rsid w:val="004C46AE"/>
    <w:rsid w:val="004C6EA4"/>
    <w:rsid w:val="004D6BDC"/>
    <w:rsid w:val="004D7A02"/>
    <w:rsid w:val="004F23C0"/>
    <w:rsid w:val="004F3176"/>
    <w:rsid w:val="004F3E5E"/>
    <w:rsid w:val="004F7A0C"/>
    <w:rsid w:val="00513171"/>
    <w:rsid w:val="005166A4"/>
    <w:rsid w:val="005231F0"/>
    <w:rsid w:val="005234B8"/>
    <w:rsid w:val="00536071"/>
    <w:rsid w:val="00537E87"/>
    <w:rsid w:val="00590CDA"/>
    <w:rsid w:val="005919B9"/>
    <w:rsid w:val="005A09B7"/>
    <w:rsid w:val="005A778F"/>
    <w:rsid w:val="005B333B"/>
    <w:rsid w:val="005B447A"/>
    <w:rsid w:val="005B756F"/>
    <w:rsid w:val="005C607E"/>
    <w:rsid w:val="005C62EC"/>
    <w:rsid w:val="005C6455"/>
    <w:rsid w:val="005D0319"/>
    <w:rsid w:val="00614B4C"/>
    <w:rsid w:val="00624EFF"/>
    <w:rsid w:val="00626EDE"/>
    <w:rsid w:val="006309A8"/>
    <w:rsid w:val="00631F7D"/>
    <w:rsid w:val="00645972"/>
    <w:rsid w:val="00651EEF"/>
    <w:rsid w:val="0066742E"/>
    <w:rsid w:val="00673838"/>
    <w:rsid w:val="006779C0"/>
    <w:rsid w:val="0068240D"/>
    <w:rsid w:val="00686E02"/>
    <w:rsid w:val="00687F18"/>
    <w:rsid w:val="00696117"/>
    <w:rsid w:val="006A2E76"/>
    <w:rsid w:val="006B1DAC"/>
    <w:rsid w:val="006B430E"/>
    <w:rsid w:val="006C31A6"/>
    <w:rsid w:val="006E7794"/>
    <w:rsid w:val="007134A2"/>
    <w:rsid w:val="007135D6"/>
    <w:rsid w:val="00724C4B"/>
    <w:rsid w:val="00727F09"/>
    <w:rsid w:val="00735451"/>
    <w:rsid w:val="00735C2D"/>
    <w:rsid w:val="0075376E"/>
    <w:rsid w:val="00756BCB"/>
    <w:rsid w:val="00757BF6"/>
    <w:rsid w:val="00757F87"/>
    <w:rsid w:val="00770B73"/>
    <w:rsid w:val="00775405"/>
    <w:rsid w:val="00782E26"/>
    <w:rsid w:val="0078312B"/>
    <w:rsid w:val="0078313A"/>
    <w:rsid w:val="007844E6"/>
    <w:rsid w:val="007908F9"/>
    <w:rsid w:val="007A0F0C"/>
    <w:rsid w:val="007B2281"/>
    <w:rsid w:val="007C5088"/>
    <w:rsid w:val="007E0BF4"/>
    <w:rsid w:val="007F14DF"/>
    <w:rsid w:val="007F676F"/>
    <w:rsid w:val="00802B4D"/>
    <w:rsid w:val="0080671F"/>
    <w:rsid w:val="008133A1"/>
    <w:rsid w:val="008134FB"/>
    <w:rsid w:val="008158D8"/>
    <w:rsid w:val="008500E4"/>
    <w:rsid w:val="00874684"/>
    <w:rsid w:val="00875934"/>
    <w:rsid w:val="008810B7"/>
    <w:rsid w:val="00882FD1"/>
    <w:rsid w:val="008854D0"/>
    <w:rsid w:val="00885D38"/>
    <w:rsid w:val="008906D9"/>
    <w:rsid w:val="008939DB"/>
    <w:rsid w:val="00894C5B"/>
    <w:rsid w:val="00897E79"/>
    <w:rsid w:val="008A5ABB"/>
    <w:rsid w:val="008C2A5F"/>
    <w:rsid w:val="008C2F73"/>
    <w:rsid w:val="008C516A"/>
    <w:rsid w:val="008C5E5D"/>
    <w:rsid w:val="008D118D"/>
    <w:rsid w:val="008E4089"/>
    <w:rsid w:val="008F0E1D"/>
    <w:rsid w:val="008F4A73"/>
    <w:rsid w:val="00915969"/>
    <w:rsid w:val="009310DE"/>
    <w:rsid w:val="00944469"/>
    <w:rsid w:val="009502E9"/>
    <w:rsid w:val="00961DFB"/>
    <w:rsid w:val="00962189"/>
    <w:rsid w:val="00992758"/>
    <w:rsid w:val="00992976"/>
    <w:rsid w:val="009A3A3D"/>
    <w:rsid w:val="009B1FE9"/>
    <w:rsid w:val="009E2646"/>
    <w:rsid w:val="009E73B4"/>
    <w:rsid w:val="00A25FD4"/>
    <w:rsid w:val="00A66C78"/>
    <w:rsid w:val="00A80F31"/>
    <w:rsid w:val="00A821D7"/>
    <w:rsid w:val="00A8362E"/>
    <w:rsid w:val="00A87D96"/>
    <w:rsid w:val="00A91873"/>
    <w:rsid w:val="00A93A76"/>
    <w:rsid w:val="00A97464"/>
    <w:rsid w:val="00AA4871"/>
    <w:rsid w:val="00AB6542"/>
    <w:rsid w:val="00AC05DC"/>
    <w:rsid w:val="00AC4F87"/>
    <w:rsid w:val="00AD23CB"/>
    <w:rsid w:val="00AD54DF"/>
    <w:rsid w:val="00AE13FC"/>
    <w:rsid w:val="00AE1417"/>
    <w:rsid w:val="00AE1EE6"/>
    <w:rsid w:val="00B05405"/>
    <w:rsid w:val="00B20E7D"/>
    <w:rsid w:val="00B2356C"/>
    <w:rsid w:val="00B50179"/>
    <w:rsid w:val="00B5020F"/>
    <w:rsid w:val="00B5567C"/>
    <w:rsid w:val="00B620FB"/>
    <w:rsid w:val="00B819F1"/>
    <w:rsid w:val="00B83CEA"/>
    <w:rsid w:val="00B87B2D"/>
    <w:rsid w:val="00B92714"/>
    <w:rsid w:val="00B93F1D"/>
    <w:rsid w:val="00BA0714"/>
    <w:rsid w:val="00BA5933"/>
    <w:rsid w:val="00BB2F8B"/>
    <w:rsid w:val="00BD492F"/>
    <w:rsid w:val="00BD51D2"/>
    <w:rsid w:val="00BE2BE5"/>
    <w:rsid w:val="00C00C86"/>
    <w:rsid w:val="00C147D9"/>
    <w:rsid w:val="00C16670"/>
    <w:rsid w:val="00C17B04"/>
    <w:rsid w:val="00C22B2C"/>
    <w:rsid w:val="00C23555"/>
    <w:rsid w:val="00C3099A"/>
    <w:rsid w:val="00C336B2"/>
    <w:rsid w:val="00C33DF9"/>
    <w:rsid w:val="00C37ED4"/>
    <w:rsid w:val="00C451F2"/>
    <w:rsid w:val="00C52208"/>
    <w:rsid w:val="00C5283A"/>
    <w:rsid w:val="00C60228"/>
    <w:rsid w:val="00C66473"/>
    <w:rsid w:val="00C73631"/>
    <w:rsid w:val="00C73B8D"/>
    <w:rsid w:val="00C84A23"/>
    <w:rsid w:val="00C92C30"/>
    <w:rsid w:val="00CA268A"/>
    <w:rsid w:val="00CA3AA5"/>
    <w:rsid w:val="00CA571D"/>
    <w:rsid w:val="00CB4515"/>
    <w:rsid w:val="00CC4994"/>
    <w:rsid w:val="00CD0C26"/>
    <w:rsid w:val="00CD12D2"/>
    <w:rsid w:val="00CD1E51"/>
    <w:rsid w:val="00CD543C"/>
    <w:rsid w:val="00CE60F8"/>
    <w:rsid w:val="00D02682"/>
    <w:rsid w:val="00D04225"/>
    <w:rsid w:val="00D06283"/>
    <w:rsid w:val="00D128E9"/>
    <w:rsid w:val="00D27017"/>
    <w:rsid w:val="00D3278B"/>
    <w:rsid w:val="00D34487"/>
    <w:rsid w:val="00D425EF"/>
    <w:rsid w:val="00D567C6"/>
    <w:rsid w:val="00D56CDF"/>
    <w:rsid w:val="00D62770"/>
    <w:rsid w:val="00D72FBA"/>
    <w:rsid w:val="00D839D6"/>
    <w:rsid w:val="00D96B97"/>
    <w:rsid w:val="00DA3DD6"/>
    <w:rsid w:val="00DA538B"/>
    <w:rsid w:val="00DA58D2"/>
    <w:rsid w:val="00DD0134"/>
    <w:rsid w:val="00DE660D"/>
    <w:rsid w:val="00E00A52"/>
    <w:rsid w:val="00E108FC"/>
    <w:rsid w:val="00E13B5D"/>
    <w:rsid w:val="00E1443C"/>
    <w:rsid w:val="00E205EA"/>
    <w:rsid w:val="00E26470"/>
    <w:rsid w:val="00E341C9"/>
    <w:rsid w:val="00E56E78"/>
    <w:rsid w:val="00E61856"/>
    <w:rsid w:val="00E72B72"/>
    <w:rsid w:val="00E84B86"/>
    <w:rsid w:val="00E8612D"/>
    <w:rsid w:val="00E91324"/>
    <w:rsid w:val="00EA04D5"/>
    <w:rsid w:val="00EA0988"/>
    <w:rsid w:val="00EA4BFE"/>
    <w:rsid w:val="00EA6D08"/>
    <w:rsid w:val="00EA7561"/>
    <w:rsid w:val="00EC6FC9"/>
    <w:rsid w:val="00EE0D4B"/>
    <w:rsid w:val="00F117E2"/>
    <w:rsid w:val="00F122B2"/>
    <w:rsid w:val="00F32235"/>
    <w:rsid w:val="00F415D1"/>
    <w:rsid w:val="00F422EB"/>
    <w:rsid w:val="00F50D0E"/>
    <w:rsid w:val="00F52766"/>
    <w:rsid w:val="00F540B7"/>
    <w:rsid w:val="00F54C68"/>
    <w:rsid w:val="00F876C0"/>
    <w:rsid w:val="00F87EF3"/>
    <w:rsid w:val="00FA6AB5"/>
    <w:rsid w:val="00FB27B7"/>
    <w:rsid w:val="00FC0389"/>
    <w:rsid w:val="00FC6AE2"/>
    <w:rsid w:val="00FD68FF"/>
    <w:rsid w:val="00FE4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B50A"/>
  <w15:chartTrackingRefBased/>
  <w15:docId w15:val="{C378CBD4-645E-4387-94E9-0DA009F9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A0C"/>
    <w:rPr>
      <w:sz w:val="16"/>
      <w:szCs w:val="16"/>
    </w:rPr>
  </w:style>
  <w:style w:type="paragraph" w:styleId="CommentText">
    <w:name w:val="annotation text"/>
    <w:basedOn w:val="Normal"/>
    <w:link w:val="CommentTextChar"/>
    <w:uiPriority w:val="99"/>
    <w:unhideWhenUsed/>
    <w:rsid w:val="004F7A0C"/>
    <w:pPr>
      <w:spacing w:line="240" w:lineRule="auto"/>
    </w:pPr>
    <w:rPr>
      <w:sz w:val="20"/>
      <w:szCs w:val="20"/>
    </w:rPr>
  </w:style>
  <w:style w:type="character" w:customStyle="1" w:styleId="CommentTextChar">
    <w:name w:val="Comment Text Char"/>
    <w:basedOn w:val="DefaultParagraphFont"/>
    <w:link w:val="CommentText"/>
    <w:uiPriority w:val="99"/>
    <w:rsid w:val="004F7A0C"/>
    <w:rPr>
      <w:sz w:val="20"/>
      <w:szCs w:val="20"/>
    </w:rPr>
  </w:style>
  <w:style w:type="character" w:customStyle="1" w:styleId="ui-provider">
    <w:name w:val="ui-provider"/>
    <w:basedOn w:val="DefaultParagraphFont"/>
    <w:rsid w:val="007F14DF"/>
  </w:style>
  <w:style w:type="paragraph" w:styleId="CommentSubject">
    <w:name w:val="annotation subject"/>
    <w:basedOn w:val="CommentText"/>
    <w:next w:val="CommentText"/>
    <w:link w:val="CommentSubjectChar"/>
    <w:uiPriority w:val="99"/>
    <w:semiHidden/>
    <w:unhideWhenUsed/>
    <w:rsid w:val="00AA4871"/>
    <w:rPr>
      <w:b/>
      <w:bCs/>
    </w:rPr>
  </w:style>
  <w:style w:type="character" w:customStyle="1" w:styleId="CommentSubjectChar">
    <w:name w:val="Comment Subject Char"/>
    <w:basedOn w:val="CommentTextChar"/>
    <w:link w:val="CommentSubject"/>
    <w:uiPriority w:val="99"/>
    <w:semiHidden/>
    <w:rsid w:val="00AA4871"/>
    <w:rPr>
      <w:b/>
      <w:bCs/>
      <w:sz w:val="20"/>
      <w:szCs w:val="20"/>
    </w:rPr>
  </w:style>
  <w:style w:type="paragraph" w:styleId="HTMLPreformatted">
    <w:name w:val="HTML Preformatted"/>
    <w:basedOn w:val="Normal"/>
    <w:link w:val="HTMLPreformattedChar"/>
    <w:uiPriority w:val="99"/>
    <w:semiHidden/>
    <w:unhideWhenUsed/>
    <w:rsid w:val="00A87D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7D96"/>
    <w:rPr>
      <w:rFonts w:ascii="Consolas" w:hAnsi="Consolas"/>
      <w:sz w:val="20"/>
      <w:szCs w:val="20"/>
    </w:rPr>
  </w:style>
  <w:style w:type="character" w:styleId="Hyperlink">
    <w:name w:val="Hyperlink"/>
    <w:basedOn w:val="DefaultParagraphFont"/>
    <w:uiPriority w:val="99"/>
    <w:unhideWhenUsed/>
    <w:rsid w:val="00B83CEA"/>
    <w:rPr>
      <w:color w:val="0563C1" w:themeColor="hyperlink"/>
      <w:u w:val="single"/>
    </w:rPr>
  </w:style>
  <w:style w:type="character" w:styleId="UnresolvedMention">
    <w:name w:val="Unresolved Mention"/>
    <w:basedOn w:val="DefaultParagraphFont"/>
    <w:uiPriority w:val="99"/>
    <w:semiHidden/>
    <w:unhideWhenUsed/>
    <w:rsid w:val="00B83CEA"/>
    <w:rPr>
      <w:color w:val="605E5C"/>
      <w:shd w:val="clear" w:color="auto" w:fill="E1DFDD"/>
    </w:rPr>
  </w:style>
  <w:style w:type="paragraph" w:styleId="Header">
    <w:name w:val="header"/>
    <w:basedOn w:val="Normal"/>
    <w:link w:val="HeaderChar"/>
    <w:uiPriority w:val="99"/>
    <w:unhideWhenUsed/>
    <w:rsid w:val="00D06283"/>
    <w:pPr>
      <w:tabs>
        <w:tab w:val="center" w:pos="4252"/>
        <w:tab w:val="right" w:pos="8504"/>
      </w:tabs>
      <w:spacing w:after="0" w:line="240" w:lineRule="auto"/>
    </w:pPr>
  </w:style>
  <w:style w:type="character" w:customStyle="1" w:styleId="HeaderChar">
    <w:name w:val="Header Char"/>
    <w:basedOn w:val="DefaultParagraphFont"/>
    <w:link w:val="Header"/>
    <w:uiPriority w:val="99"/>
    <w:rsid w:val="00D06283"/>
  </w:style>
  <w:style w:type="paragraph" w:styleId="Footer">
    <w:name w:val="footer"/>
    <w:basedOn w:val="Normal"/>
    <w:link w:val="FooterChar"/>
    <w:uiPriority w:val="99"/>
    <w:unhideWhenUsed/>
    <w:rsid w:val="00D06283"/>
    <w:pPr>
      <w:tabs>
        <w:tab w:val="center" w:pos="4252"/>
        <w:tab w:val="right" w:pos="8504"/>
      </w:tabs>
      <w:spacing w:after="0" w:line="240" w:lineRule="auto"/>
    </w:pPr>
  </w:style>
  <w:style w:type="character" w:customStyle="1" w:styleId="FooterChar">
    <w:name w:val="Footer Char"/>
    <w:basedOn w:val="DefaultParagraphFont"/>
    <w:link w:val="Footer"/>
    <w:uiPriority w:val="99"/>
    <w:rsid w:val="00D06283"/>
  </w:style>
  <w:style w:type="table" w:styleId="TableGrid">
    <w:name w:val="Table Grid"/>
    <w:basedOn w:val="TableNormal"/>
    <w:uiPriority w:val="39"/>
    <w:rsid w:val="0030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044">
      <w:bodyDiv w:val="1"/>
      <w:marLeft w:val="0"/>
      <w:marRight w:val="0"/>
      <w:marTop w:val="0"/>
      <w:marBottom w:val="0"/>
      <w:divBdr>
        <w:top w:val="none" w:sz="0" w:space="0" w:color="auto"/>
        <w:left w:val="none" w:sz="0" w:space="0" w:color="auto"/>
        <w:bottom w:val="none" w:sz="0" w:space="0" w:color="auto"/>
        <w:right w:val="none" w:sz="0" w:space="0" w:color="auto"/>
      </w:divBdr>
    </w:div>
    <w:div w:id="140007687">
      <w:bodyDiv w:val="1"/>
      <w:marLeft w:val="0"/>
      <w:marRight w:val="0"/>
      <w:marTop w:val="0"/>
      <w:marBottom w:val="0"/>
      <w:divBdr>
        <w:top w:val="none" w:sz="0" w:space="0" w:color="auto"/>
        <w:left w:val="none" w:sz="0" w:space="0" w:color="auto"/>
        <w:bottom w:val="none" w:sz="0" w:space="0" w:color="auto"/>
        <w:right w:val="none" w:sz="0" w:space="0" w:color="auto"/>
      </w:divBdr>
    </w:div>
    <w:div w:id="304941228">
      <w:bodyDiv w:val="1"/>
      <w:marLeft w:val="0"/>
      <w:marRight w:val="0"/>
      <w:marTop w:val="0"/>
      <w:marBottom w:val="0"/>
      <w:divBdr>
        <w:top w:val="none" w:sz="0" w:space="0" w:color="auto"/>
        <w:left w:val="none" w:sz="0" w:space="0" w:color="auto"/>
        <w:bottom w:val="none" w:sz="0" w:space="0" w:color="auto"/>
        <w:right w:val="none" w:sz="0" w:space="0" w:color="auto"/>
      </w:divBdr>
    </w:div>
    <w:div w:id="357582043">
      <w:bodyDiv w:val="1"/>
      <w:marLeft w:val="0"/>
      <w:marRight w:val="0"/>
      <w:marTop w:val="0"/>
      <w:marBottom w:val="0"/>
      <w:divBdr>
        <w:top w:val="none" w:sz="0" w:space="0" w:color="auto"/>
        <w:left w:val="none" w:sz="0" w:space="0" w:color="auto"/>
        <w:bottom w:val="none" w:sz="0" w:space="0" w:color="auto"/>
        <w:right w:val="none" w:sz="0" w:space="0" w:color="auto"/>
      </w:divBdr>
    </w:div>
    <w:div w:id="382826977">
      <w:bodyDiv w:val="1"/>
      <w:marLeft w:val="0"/>
      <w:marRight w:val="0"/>
      <w:marTop w:val="0"/>
      <w:marBottom w:val="0"/>
      <w:divBdr>
        <w:top w:val="none" w:sz="0" w:space="0" w:color="auto"/>
        <w:left w:val="none" w:sz="0" w:space="0" w:color="auto"/>
        <w:bottom w:val="none" w:sz="0" w:space="0" w:color="auto"/>
        <w:right w:val="none" w:sz="0" w:space="0" w:color="auto"/>
      </w:divBdr>
    </w:div>
    <w:div w:id="418720098">
      <w:bodyDiv w:val="1"/>
      <w:marLeft w:val="0"/>
      <w:marRight w:val="0"/>
      <w:marTop w:val="0"/>
      <w:marBottom w:val="0"/>
      <w:divBdr>
        <w:top w:val="none" w:sz="0" w:space="0" w:color="auto"/>
        <w:left w:val="none" w:sz="0" w:space="0" w:color="auto"/>
        <w:bottom w:val="none" w:sz="0" w:space="0" w:color="auto"/>
        <w:right w:val="none" w:sz="0" w:space="0" w:color="auto"/>
      </w:divBdr>
    </w:div>
    <w:div w:id="492330692">
      <w:bodyDiv w:val="1"/>
      <w:marLeft w:val="0"/>
      <w:marRight w:val="0"/>
      <w:marTop w:val="0"/>
      <w:marBottom w:val="0"/>
      <w:divBdr>
        <w:top w:val="none" w:sz="0" w:space="0" w:color="auto"/>
        <w:left w:val="none" w:sz="0" w:space="0" w:color="auto"/>
        <w:bottom w:val="none" w:sz="0" w:space="0" w:color="auto"/>
        <w:right w:val="none" w:sz="0" w:space="0" w:color="auto"/>
      </w:divBdr>
    </w:div>
    <w:div w:id="616184837">
      <w:bodyDiv w:val="1"/>
      <w:marLeft w:val="0"/>
      <w:marRight w:val="0"/>
      <w:marTop w:val="0"/>
      <w:marBottom w:val="0"/>
      <w:divBdr>
        <w:top w:val="none" w:sz="0" w:space="0" w:color="auto"/>
        <w:left w:val="none" w:sz="0" w:space="0" w:color="auto"/>
        <w:bottom w:val="none" w:sz="0" w:space="0" w:color="auto"/>
        <w:right w:val="none" w:sz="0" w:space="0" w:color="auto"/>
      </w:divBdr>
    </w:div>
    <w:div w:id="618298556">
      <w:bodyDiv w:val="1"/>
      <w:marLeft w:val="0"/>
      <w:marRight w:val="0"/>
      <w:marTop w:val="0"/>
      <w:marBottom w:val="0"/>
      <w:divBdr>
        <w:top w:val="none" w:sz="0" w:space="0" w:color="auto"/>
        <w:left w:val="none" w:sz="0" w:space="0" w:color="auto"/>
        <w:bottom w:val="none" w:sz="0" w:space="0" w:color="auto"/>
        <w:right w:val="none" w:sz="0" w:space="0" w:color="auto"/>
      </w:divBdr>
    </w:div>
    <w:div w:id="693775382">
      <w:bodyDiv w:val="1"/>
      <w:marLeft w:val="0"/>
      <w:marRight w:val="0"/>
      <w:marTop w:val="0"/>
      <w:marBottom w:val="0"/>
      <w:divBdr>
        <w:top w:val="none" w:sz="0" w:space="0" w:color="auto"/>
        <w:left w:val="none" w:sz="0" w:space="0" w:color="auto"/>
        <w:bottom w:val="none" w:sz="0" w:space="0" w:color="auto"/>
        <w:right w:val="none" w:sz="0" w:space="0" w:color="auto"/>
      </w:divBdr>
    </w:div>
    <w:div w:id="820655216">
      <w:bodyDiv w:val="1"/>
      <w:marLeft w:val="0"/>
      <w:marRight w:val="0"/>
      <w:marTop w:val="0"/>
      <w:marBottom w:val="0"/>
      <w:divBdr>
        <w:top w:val="none" w:sz="0" w:space="0" w:color="auto"/>
        <w:left w:val="none" w:sz="0" w:space="0" w:color="auto"/>
        <w:bottom w:val="none" w:sz="0" w:space="0" w:color="auto"/>
        <w:right w:val="none" w:sz="0" w:space="0" w:color="auto"/>
      </w:divBdr>
    </w:div>
    <w:div w:id="826899617">
      <w:bodyDiv w:val="1"/>
      <w:marLeft w:val="0"/>
      <w:marRight w:val="0"/>
      <w:marTop w:val="0"/>
      <w:marBottom w:val="0"/>
      <w:divBdr>
        <w:top w:val="none" w:sz="0" w:space="0" w:color="auto"/>
        <w:left w:val="none" w:sz="0" w:space="0" w:color="auto"/>
        <w:bottom w:val="none" w:sz="0" w:space="0" w:color="auto"/>
        <w:right w:val="none" w:sz="0" w:space="0" w:color="auto"/>
      </w:divBdr>
    </w:div>
    <w:div w:id="867179694">
      <w:bodyDiv w:val="1"/>
      <w:marLeft w:val="0"/>
      <w:marRight w:val="0"/>
      <w:marTop w:val="0"/>
      <w:marBottom w:val="0"/>
      <w:divBdr>
        <w:top w:val="none" w:sz="0" w:space="0" w:color="auto"/>
        <w:left w:val="none" w:sz="0" w:space="0" w:color="auto"/>
        <w:bottom w:val="none" w:sz="0" w:space="0" w:color="auto"/>
        <w:right w:val="none" w:sz="0" w:space="0" w:color="auto"/>
      </w:divBdr>
    </w:div>
    <w:div w:id="957756475">
      <w:bodyDiv w:val="1"/>
      <w:marLeft w:val="0"/>
      <w:marRight w:val="0"/>
      <w:marTop w:val="0"/>
      <w:marBottom w:val="0"/>
      <w:divBdr>
        <w:top w:val="none" w:sz="0" w:space="0" w:color="auto"/>
        <w:left w:val="none" w:sz="0" w:space="0" w:color="auto"/>
        <w:bottom w:val="none" w:sz="0" w:space="0" w:color="auto"/>
        <w:right w:val="none" w:sz="0" w:space="0" w:color="auto"/>
      </w:divBdr>
    </w:div>
    <w:div w:id="972060297">
      <w:bodyDiv w:val="1"/>
      <w:marLeft w:val="0"/>
      <w:marRight w:val="0"/>
      <w:marTop w:val="0"/>
      <w:marBottom w:val="0"/>
      <w:divBdr>
        <w:top w:val="none" w:sz="0" w:space="0" w:color="auto"/>
        <w:left w:val="none" w:sz="0" w:space="0" w:color="auto"/>
        <w:bottom w:val="none" w:sz="0" w:space="0" w:color="auto"/>
        <w:right w:val="none" w:sz="0" w:space="0" w:color="auto"/>
      </w:divBdr>
    </w:div>
    <w:div w:id="1052969414">
      <w:bodyDiv w:val="1"/>
      <w:marLeft w:val="0"/>
      <w:marRight w:val="0"/>
      <w:marTop w:val="0"/>
      <w:marBottom w:val="0"/>
      <w:divBdr>
        <w:top w:val="none" w:sz="0" w:space="0" w:color="auto"/>
        <w:left w:val="none" w:sz="0" w:space="0" w:color="auto"/>
        <w:bottom w:val="none" w:sz="0" w:space="0" w:color="auto"/>
        <w:right w:val="none" w:sz="0" w:space="0" w:color="auto"/>
      </w:divBdr>
    </w:div>
    <w:div w:id="1152481754">
      <w:bodyDiv w:val="1"/>
      <w:marLeft w:val="0"/>
      <w:marRight w:val="0"/>
      <w:marTop w:val="0"/>
      <w:marBottom w:val="0"/>
      <w:divBdr>
        <w:top w:val="none" w:sz="0" w:space="0" w:color="auto"/>
        <w:left w:val="none" w:sz="0" w:space="0" w:color="auto"/>
        <w:bottom w:val="none" w:sz="0" w:space="0" w:color="auto"/>
        <w:right w:val="none" w:sz="0" w:space="0" w:color="auto"/>
      </w:divBdr>
    </w:div>
    <w:div w:id="1261714996">
      <w:bodyDiv w:val="1"/>
      <w:marLeft w:val="0"/>
      <w:marRight w:val="0"/>
      <w:marTop w:val="0"/>
      <w:marBottom w:val="0"/>
      <w:divBdr>
        <w:top w:val="none" w:sz="0" w:space="0" w:color="auto"/>
        <w:left w:val="none" w:sz="0" w:space="0" w:color="auto"/>
        <w:bottom w:val="none" w:sz="0" w:space="0" w:color="auto"/>
        <w:right w:val="none" w:sz="0" w:space="0" w:color="auto"/>
      </w:divBdr>
    </w:div>
    <w:div w:id="1277106182">
      <w:bodyDiv w:val="1"/>
      <w:marLeft w:val="0"/>
      <w:marRight w:val="0"/>
      <w:marTop w:val="0"/>
      <w:marBottom w:val="0"/>
      <w:divBdr>
        <w:top w:val="none" w:sz="0" w:space="0" w:color="auto"/>
        <w:left w:val="none" w:sz="0" w:space="0" w:color="auto"/>
        <w:bottom w:val="none" w:sz="0" w:space="0" w:color="auto"/>
        <w:right w:val="none" w:sz="0" w:space="0" w:color="auto"/>
      </w:divBdr>
    </w:div>
    <w:div w:id="1319307976">
      <w:bodyDiv w:val="1"/>
      <w:marLeft w:val="0"/>
      <w:marRight w:val="0"/>
      <w:marTop w:val="0"/>
      <w:marBottom w:val="0"/>
      <w:divBdr>
        <w:top w:val="none" w:sz="0" w:space="0" w:color="auto"/>
        <w:left w:val="none" w:sz="0" w:space="0" w:color="auto"/>
        <w:bottom w:val="none" w:sz="0" w:space="0" w:color="auto"/>
        <w:right w:val="none" w:sz="0" w:space="0" w:color="auto"/>
      </w:divBdr>
    </w:div>
    <w:div w:id="1326055439">
      <w:bodyDiv w:val="1"/>
      <w:marLeft w:val="0"/>
      <w:marRight w:val="0"/>
      <w:marTop w:val="0"/>
      <w:marBottom w:val="0"/>
      <w:divBdr>
        <w:top w:val="none" w:sz="0" w:space="0" w:color="auto"/>
        <w:left w:val="none" w:sz="0" w:space="0" w:color="auto"/>
        <w:bottom w:val="none" w:sz="0" w:space="0" w:color="auto"/>
        <w:right w:val="none" w:sz="0" w:space="0" w:color="auto"/>
      </w:divBdr>
    </w:div>
    <w:div w:id="1671637597">
      <w:bodyDiv w:val="1"/>
      <w:marLeft w:val="0"/>
      <w:marRight w:val="0"/>
      <w:marTop w:val="0"/>
      <w:marBottom w:val="0"/>
      <w:divBdr>
        <w:top w:val="none" w:sz="0" w:space="0" w:color="auto"/>
        <w:left w:val="none" w:sz="0" w:space="0" w:color="auto"/>
        <w:bottom w:val="none" w:sz="0" w:space="0" w:color="auto"/>
        <w:right w:val="none" w:sz="0" w:space="0" w:color="auto"/>
      </w:divBdr>
    </w:div>
    <w:div w:id="1676419757">
      <w:bodyDiv w:val="1"/>
      <w:marLeft w:val="0"/>
      <w:marRight w:val="0"/>
      <w:marTop w:val="0"/>
      <w:marBottom w:val="0"/>
      <w:divBdr>
        <w:top w:val="none" w:sz="0" w:space="0" w:color="auto"/>
        <w:left w:val="none" w:sz="0" w:space="0" w:color="auto"/>
        <w:bottom w:val="none" w:sz="0" w:space="0" w:color="auto"/>
        <w:right w:val="none" w:sz="0" w:space="0" w:color="auto"/>
      </w:divBdr>
    </w:div>
    <w:div w:id="1729955572">
      <w:bodyDiv w:val="1"/>
      <w:marLeft w:val="0"/>
      <w:marRight w:val="0"/>
      <w:marTop w:val="0"/>
      <w:marBottom w:val="0"/>
      <w:divBdr>
        <w:top w:val="none" w:sz="0" w:space="0" w:color="auto"/>
        <w:left w:val="none" w:sz="0" w:space="0" w:color="auto"/>
        <w:bottom w:val="none" w:sz="0" w:space="0" w:color="auto"/>
        <w:right w:val="none" w:sz="0" w:space="0" w:color="auto"/>
      </w:divBdr>
    </w:div>
    <w:div w:id="1762792509">
      <w:bodyDiv w:val="1"/>
      <w:marLeft w:val="0"/>
      <w:marRight w:val="0"/>
      <w:marTop w:val="0"/>
      <w:marBottom w:val="0"/>
      <w:divBdr>
        <w:top w:val="none" w:sz="0" w:space="0" w:color="auto"/>
        <w:left w:val="none" w:sz="0" w:space="0" w:color="auto"/>
        <w:bottom w:val="none" w:sz="0" w:space="0" w:color="auto"/>
        <w:right w:val="none" w:sz="0" w:space="0" w:color="auto"/>
      </w:divBdr>
    </w:div>
    <w:div w:id="1824392545">
      <w:bodyDiv w:val="1"/>
      <w:marLeft w:val="0"/>
      <w:marRight w:val="0"/>
      <w:marTop w:val="0"/>
      <w:marBottom w:val="0"/>
      <w:divBdr>
        <w:top w:val="none" w:sz="0" w:space="0" w:color="auto"/>
        <w:left w:val="none" w:sz="0" w:space="0" w:color="auto"/>
        <w:bottom w:val="none" w:sz="0" w:space="0" w:color="auto"/>
        <w:right w:val="none" w:sz="0" w:space="0" w:color="auto"/>
      </w:divBdr>
    </w:div>
    <w:div w:id="1907959230">
      <w:bodyDiv w:val="1"/>
      <w:marLeft w:val="0"/>
      <w:marRight w:val="0"/>
      <w:marTop w:val="0"/>
      <w:marBottom w:val="0"/>
      <w:divBdr>
        <w:top w:val="none" w:sz="0" w:space="0" w:color="auto"/>
        <w:left w:val="none" w:sz="0" w:space="0" w:color="auto"/>
        <w:bottom w:val="none" w:sz="0" w:space="0" w:color="auto"/>
        <w:right w:val="none" w:sz="0" w:space="0" w:color="auto"/>
      </w:divBdr>
    </w:div>
    <w:div w:id="1957440847">
      <w:bodyDiv w:val="1"/>
      <w:marLeft w:val="0"/>
      <w:marRight w:val="0"/>
      <w:marTop w:val="0"/>
      <w:marBottom w:val="0"/>
      <w:divBdr>
        <w:top w:val="none" w:sz="0" w:space="0" w:color="auto"/>
        <w:left w:val="none" w:sz="0" w:space="0" w:color="auto"/>
        <w:bottom w:val="none" w:sz="0" w:space="0" w:color="auto"/>
        <w:right w:val="none" w:sz="0" w:space="0" w:color="auto"/>
      </w:divBdr>
    </w:div>
    <w:div w:id="2019580849">
      <w:bodyDiv w:val="1"/>
      <w:marLeft w:val="0"/>
      <w:marRight w:val="0"/>
      <w:marTop w:val="0"/>
      <w:marBottom w:val="0"/>
      <w:divBdr>
        <w:top w:val="none" w:sz="0" w:space="0" w:color="auto"/>
        <w:left w:val="none" w:sz="0" w:space="0" w:color="auto"/>
        <w:bottom w:val="none" w:sz="0" w:space="0" w:color="auto"/>
        <w:right w:val="none" w:sz="0" w:space="0" w:color="auto"/>
      </w:divBdr>
    </w:div>
    <w:div w:id="206047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635483159594472183</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QI_x002d_QO xmlns="4213deca-91d5-4863-a86b-37f9ba5d141a">Não</QI_x002d_QO>
    <Confidentiality xmlns="http://schemas.microsoft.com/sharepoint/v3/fields">Praxair Internal</Confidentiality>
    <Status xmlns="4213deca-91d5-4863-a86b-37f9ba5d141a">Vigente</Status>
    <Normas_x0020_Aplic_x00e1_veis xmlns="4213deca-91d5-4863-a86b-37f9ba5d141a">NQ 10059</Normas_x0020_Aplic_x00e1_veis>
    <Revis_x00e3_o xmlns="4213deca-91d5-4863-a86b-37f9ba5d141a">02</Revis_x00e3_o>
    <Para_x0020_qualifica_x00e7__x00e3_o_x0020__x0028_QI_x0020__x002f__x0020_QO_x0029_ xmlns="4213deca-91d5-4863-a86b-37f9ba5d141a">Não</Para_x0020_qualifica_x00e7__x00e3_o_x0020__x0028_QI_x0020__x002f__x0020_QO_x0029_>
    <Data xmlns="4213deca-91d5-4863-a86b-37f9ba5d141a">06/2026</Data>
    <DocumentDescript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axair Document" ma:contentTypeID="0x0101005332F085960B44D6AE9F21E430192CB90100872A1D93FF673044B244C6FECF66743C" ma:contentTypeVersion="15" ma:contentTypeDescription="Praxair Content Types" ma:contentTypeScope="" ma:versionID="c45bebc04acd77859484e5411a638282">
  <xsd:schema xmlns:xsd="http://www.w3.org/2001/XMLSchema" xmlns:xs="http://www.w3.org/2001/XMLSchema" xmlns:p="http://schemas.microsoft.com/office/2006/metadata/properties" xmlns:ns1="4213deca-91d5-4863-a86b-37f9ba5d141a" xmlns:ns3="http://schemas.microsoft.com/sharepoint/v3/fields" targetNamespace="http://schemas.microsoft.com/office/2006/metadata/properties" ma:root="true" ma:fieldsID="acb979e7e82243b82305d19e93245340" ns1:_="" ns3:_="">
    <xsd:import namespace="4213deca-91d5-4863-a86b-37f9ba5d141a"/>
    <xsd:import namespace="http://schemas.microsoft.com/sharepoint/v3/fields"/>
    <xsd:element name="properties">
      <xsd:complexType>
        <xsd:sequence>
          <xsd:element name="documentManagement">
            <xsd:complexType>
              <xsd:all>
                <xsd:element ref="ns1:Para_x0020_qualifica_x00e7__x00e3_o_x0020__x0028_QI_x0020__x002f__x0020_QO_x0029_" minOccurs="0"/>
                <xsd:element ref="ns1:Normas_x0020_Aplic_x00e1_veis" minOccurs="0"/>
                <xsd:element ref="ns1:Revis_x00e3_o"/>
                <xsd:element ref="ns1:Data" minOccurs="0"/>
                <xsd:element ref="ns1:Status" minOccurs="0"/>
                <xsd:element ref="ns1:QI_x002d_QO" minOccurs="0"/>
                <xsd:element ref="ns3:Confidentiality" minOccurs="0"/>
                <xsd:element ref="ns3: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3deca-91d5-4863-a86b-37f9ba5d141a" elementFormDefault="qualified">
    <xsd:import namespace="http://schemas.microsoft.com/office/2006/documentManagement/types"/>
    <xsd:import namespace="http://schemas.microsoft.com/office/infopath/2007/PartnerControls"/>
    <xsd:element name="Para_x0020_qualifica_x00e7__x00e3_o_x0020__x0028_QI_x0020__x002f__x0020_QO_x0029_" ma:index="0" nillable="true" ma:displayName="Para qualificação (QI / QO)" ma:default="Não" ma:format="RadioButtons" ma:internalName="Para_x0020_qualifica_x00e7__x00e3_o_x0020__x0028_QI_x0020__x002f__x0020_QO_x0029_">
      <xsd:simpleType>
        <xsd:restriction base="dms:Choice">
          <xsd:enumeration value="Não"/>
          <xsd:enumeration value="Sim"/>
        </xsd:restriction>
      </xsd:simpleType>
    </xsd:element>
    <xsd:element name="Normas_x0020_Aplic_x00e1_veis" ma:index="2" nillable="true" ma:displayName="Normas Aplicáveis" ma:internalName="Normas_x0020_Aplic_x00e1_veis">
      <xsd:simpleType>
        <xsd:restriction base="dms:Text">
          <xsd:maxLength value="255"/>
        </xsd:restriction>
      </xsd:simpleType>
    </xsd:element>
    <xsd:element name="Revis_x00e3_o" ma:index="4" ma:displayName="Revisão" ma:internalName="Revis_x00e3_o" ma:readOnly="false">
      <xsd:simpleType>
        <xsd:restriction base="dms:Text">
          <xsd:maxLength value="8"/>
        </xsd:restriction>
      </xsd:simpleType>
    </xsd:element>
    <xsd:element name="Data" ma:index="5" nillable="true" ma:displayName="Data" ma:internalName="Data">
      <xsd:simpleType>
        <xsd:restriction base="dms:Text">
          <xsd:maxLength value="8"/>
        </xsd:restriction>
      </xsd:simpleType>
    </xsd:element>
    <xsd:element name="Status" ma:index="6" nillable="true" ma:displayName="Status" ma:default="Vigente" ma:format="RadioButtons" ma:internalName="Status">
      <xsd:simpleType>
        <xsd:restriction base="dms:Choice">
          <xsd:enumeration value="Vigente"/>
          <xsd:enumeration value="Cancelado"/>
        </xsd:restriction>
      </xsd:simpleType>
    </xsd:element>
    <xsd:element name="QI_x002d_QO" ma:index="7" nillable="true" ma:displayName="QI-QO" ma:default="Não" ma:format="RadioButtons" ma:internalName="QI_x002d_QO">
      <xsd:simpleType>
        <xsd:restriction base="dms:Choice">
          <xsd:enumeration value="Não"/>
          <xsd:enumeration value="Si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ity" ma:index="8" nillable="true" ma:displayName="Confidentiality" ma:default="Praxair Internal" ma:description="Indicates whether or not this content may be shared outside Praxair.  Praxair Internal means that the document may not be shared with someone who is not a Praxair employee." ma:hidden="true" ma:internalName="Confidentiality" ma:readOnly="false">
      <xsd:simpleType>
        <xsd:restriction base="dms:Choice">
          <xsd:enumeration value="Praxair Internal"/>
          <xsd:enumeration value="High Confidentiality"/>
          <xsd:enumeration value="Public"/>
        </xsd:restriction>
      </xsd:simpleType>
    </xsd:element>
    <xsd:element name="DocumentDescription" ma:index="14" nillable="true" ma:displayName="Document Description" ma:description="Description of the document, if not obvious from the name.  Limited to 255 characters, including spaces." ma:hidden="true" ma:internalName="Document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ú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632FC-78F7-4E7A-A240-1B7428CBA644}">
  <ds:schemaRefs>
    <ds:schemaRef ds:uri="http://schemas.microsoft.com/sharepoint/events"/>
  </ds:schemaRefs>
</ds:datastoreItem>
</file>

<file path=customXml/itemProps2.xml><?xml version="1.0" encoding="utf-8"?>
<ds:datastoreItem xmlns:ds="http://schemas.openxmlformats.org/officeDocument/2006/customXml" ds:itemID="{DB33DDF4-0C3F-48C7-879A-AB1A750F56A3}">
  <ds:schemaRefs>
    <ds:schemaRef ds:uri="http://purl.org/dc/elements/1.1/"/>
    <ds:schemaRef ds:uri="http://purl.org/dc/dcmitype/"/>
    <ds:schemaRef ds:uri="http://schemas.microsoft.com/office/2006/documentManagement/types"/>
    <ds:schemaRef ds:uri="http://www.w3.org/XML/1998/namespace"/>
    <ds:schemaRef ds:uri="http://purl.org/dc/terms/"/>
    <ds:schemaRef ds:uri="4213deca-91d5-4863-a86b-37f9ba5d141a"/>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AAF59305-705E-40BF-A2C9-0C38205CA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3deca-91d5-4863-a86b-37f9ba5d14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AEE64-5758-45AB-A763-073365C12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9775</Characters>
  <Application>Microsoft Office Word</Application>
  <DocSecurity>12</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Técnica – Texto do Rótulo – Folheto Informativo – Óxido Nítrico Medicinal - NO 500 ppm</dc:title>
  <dc:subject/>
  <dc:creator>Thiago Martins</dc:creator>
  <cp:keywords/>
  <dc:description/>
  <cp:lastModifiedBy>Julia Costa</cp:lastModifiedBy>
  <cp:revision>2</cp:revision>
  <dcterms:created xsi:type="dcterms:W3CDTF">2026-06-15T14:36:00Z</dcterms:created>
  <dcterms:modified xsi:type="dcterms:W3CDTF">2026-06-15T14:36:00Z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0x0101005332F085960B44D6AE9F21E430192CB90100872A1D93FF673044B244C6FECF66743C</vt:lpwstr>
  </property>
  <property fmtid="{D5CDD505-2E9C-101B-9397-08002B2CF9AE}" pid="3" name="MediaServiceImageTags">
    <vt:lpwstr/>
  </property>
</Properties>
</file>