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10DA1" w14:textId="51F68C9D" w:rsidR="00DD0EDC" w:rsidRPr="008C1061" w:rsidRDefault="002E614E" w:rsidP="00BE70E6">
      <w:pPr>
        <w:jc w:val="both"/>
        <w:rPr>
          <w:rFonts w:ascii="LindeDaxOffice Medium" w:hAnsi="LindeDaxOffice Medium"/>
          <w:sz w:val="18"/>
          <w:szCs w:val="18"/>
        </w:rPr>
      </w:pPr>
      <w:r w:rsidRPr="008C1061">
        <w:rPr>
          <w:rFonts w:ascii="LindeDaxOffice Medium" w:hAnsi="LindeDaxOffice Medium"/>
          <w:b/>
          <w:bCs/>
          <w:sz w:val="18"/>
          <w:szCs w:val="18"/>
        </w:rPr>
        <w:t xml:space="preserve">Nome do </w:t>
      </w:r>
      <w:r w:rsidR="00E6573E" w:rsidRPr="008C1061">
        <w:rPr>
          <w:rFonts w:ascii="LindeDaxOffice Medium" w:hAnsi="LindeDaxOffice Medium"/>
          <w:b/>
          <w:bCs/>
          <w:sz w:val="18"/>
          <w:szCs w:val="18"/>
        </w:rPr>
        <w:t>Gás Medicinal</w:t>
      </w:r>
      <w:r w:rsidRPr="008C1061">
        <w:rPr>
          <w:rFonts w:ascii="LindeDaxOffice Medium" w:hAnsi="LindeDaxOffice Medium"/>
          <w:b/>
          <w:bCs/>
          <w:sz w:val="18"/>
          <w:szCs w:val="18"/>
        </w:rPr>
        <w:t>:</w:t>
      </w:r>
      <w:r w:rsidRPr="008C1061">
        <w:rPr>
          <w:rFonts w:ascii="LindeDaxOffice Medium" w:hAnsi="LindeDaxOffice Medium"/>
          <w:sz w:val="18"/>
          <w:szCs w:val="18"/>
        </w:rPr>
        <w:t xml:space="preserve"> </w:t>
      </w:r>
      <w:r w:rsidR="005245FB" w:rsidRPr="008C1061">
        <w:rPr>
          <w:rFonts w:ascii="LindeDaxOffice Medium" w:hAnsi="LindeDaxOffice Medium"/>
          <w:sz w:val="18"/>
          <w:szCs w:val="18"/>
        </w:rPr>
        <w:t>Óxido Nitroso</w:t>
      </w:r>
      <w:r w:rsidR="00DD0EDC" w:rsidRPr="008C1061">
        <w:rPr>
          <w:rFonts w:ascii="LindeDaxOffice Medium" w:hAnsi="LindeDaxOffice Medium"/>
          <w:sz w:val="18"/>
          <w:szCs w:val="18"/>
        </w:rPr>
        <w:t xml:space="preserve"> Líquido Medicinal.</w:t>
      </w:r>
    </w:p>
    <w:p w14:paraId="54149E1F" w14:textId="2ECB2B2C" w:rsidR="002E614E" w:rsidRPr="008C1061" w:rsidRDefault="00E6573E" w:rsidP="00BE70E6">
      <w:pPr>
        <w:jc w:val="both"/>
        <w:rPr>
          <w:rFonts w:ascii="LindeDaxOffice Medium" w:hAnsi="LindeDaxOffice Medium"/>
          <w:sz w:val="18"/>
          <w:szCs w:val="18"/>
        </w:rPr>
      </w:pPr>
      <w:r w:rsidRPr="008C1061">
        <w:rPr>
          <w:rFonts w:ascii="LindeDaxOffice Medium" w:hAnsi="LindeDaxOffice Medium"/>
          <w:b/>
          <w:bCs/>
          <w:sz w:val="18"/>
          <w:szCs w:val="18"/>
        </w:rPr>
        <w:t>Composição do Gás Medicinal</w:t>
      </w:r>
      <w:r w:rsidR="002E614E" w:rsidRPr="008C1061">
        <w:rPr>
          <w:rFonts w:ascii="LindeDaxOffice Medium" w:hAnsi="LindeDaxOffice Medium"/>
          <w:b/>
          <w:bCs/>
          <w:sz w:val="18"/>
          <w:szCs w:val="18"/>
        </w:rPr>
        <w:t>:</w:t>
      </w:r>
      <w:r w:rsidR="002E614E" w:rsidRPr="008C1061">
        <w:rPr>
          <w:rFonts w:ascii="LindeDaxOffice Medium" w:hAnsi="LindeDaxOffice Medium"/>
          <w:sz w:val="18"/>
          <w:szCs w:val="18"/>
        </w:rPr>
        <w:t xml:space="preserve"> </w:t>
      </w:r>
      <w:r w:rsidR="007236D1" w:rsidRPr="008C1061">
        <w:rPr>
          <w:rFonts w:ascii="LindeDaxOffice Medium" w:hAnsi="LindeDaxOffice Medium"/>
          <w:sz w:val="18"/>
          <w:szCs w:val="18"/>
        </w:rPr>
        <w:t>99% vol/vol (mínimo)</w:t>
      </w:r>
    </w:p>
    <w:p w14:paraId="1CDCC8D8" w14:textId="77777777" w:rsidR="004451BD" w:rsidRPr="008C1061" w:rsidRDefault="004451BD" w:rsidP="004451BD">
      <w:pPr>
        <w:jc w:val="both"/>
        <w:rPr>
          <w:rFonts w:ascii="LindeDaxOffice Medium" w:hAnsi="LindeDaxOffice Medium"/>
          <w:sz w:val="18"/>
          <w:szCs w:val="18"/>
        </w:rPr>
      </w:pPr>
      <w:r w:rsidRPr="008C1061">
        <w:rPr>
          <w:rFonts w:ascii="LindeDaxOffice Medium" w:hAnsi="LindeDaxOffice Medium"/>
          <w:b/>
          <w:bCs/>
          <w:sz w:val="18"/>
          <w:szCs w:val="18"/>
        </w:rPr>
        <w:t>Quantidade, Número de Lote, Data de Fabricação e Prazo de Validade:</w:t>
      </w:r>
      <w:r w:rsidRPr="008C1061">
        <w:rPr>
          <w:rFonts w:ascii="LindeDaxOffice Medium" w:hAnsi="LindeDaxOffice Medium"/>
          <w:sz w:val="18"/>
          <w:szCs w:val="18"/>
        </w:rPr>
        <w:t xml:space="preserve"> Consultar frente do certificado de qualidade.</w:t>
      </w:r>
    </w:p>
    <w:p w14:paraId="4EB3C5E2" w14:textId="400C07F4" w:rsidR="007952FE" w:rsidRPr="008C1061" w:rsidRDefault="007952FE" w:rsidP="007952FE">
      <w:pPr>
        <w:jc w:val="both"/>
        <w:rPr>
          <w:rFonts w:ascii="LindeDaxOffice Medium" w:hAnsi="LindeDaxOffice Medium"/>
          <w:sz w:val="18"/>
          <w:szCs w:val="18"/>
        </w:rPr>
      </w:pPr>
      <w:r w:rsidRPr="008C1061">
        <w:rPr>
          <w:rFonts w:ascii="LindeDaxOffice Medium" w:hAnsi="LindeDaxOffice Medium"/>
          <w:b/>
          <w:bCs/>
          <w:sz w:val="18"/>
          <w:szCs w:val="18"/>
        </w:rPr>
        <w:t>Via de Administração:</w:t>
      </w:r>
      <w:r w:rsidRPr="008C1061">
        <w:rPr>
          <w:rFonts w:ascii="LindeDaxOffice Medium" w:hAnsi="LindeDaxOffice Medium"/>
          <w:sz w:val="18"/>
          <w:szCs w:val="18"/>
        </w:rPr>
        <w:t xml:space="preserve"> </w:t>
      </w:r>
      <w:r w:rsidR="00EC69AB" w:rsidRPr="008C1061">
        <w:rPr>
          <w:rFonts w:ascii="LindeDaxOffice Medium" w:hAnsi="LindeDaxOffice Medium"/>
          <w:sz w:val="18"/>
          <w:szCs w:val="18"/>
        </w:rPr>
        <w:t>Via inalatória em combinação com oxigênio por meio de equipamento específico que forneça uma mistura de óxido nitroso e oxigênio medicinal, com monitoramento da concentração do oxigênio que não pode ser inferior a 21%, durante a ventilação espontânea ou controlada em salas com ventilação adequada, sempre sob supervisão de profissionais médicos especializados, monitorando ativamente a administração. Não deve ser administrado em concentrações superiores a 70-75% para garantir uma fração de oxigênio segura. Em pacientes com oxigenação comprometida, uma fração de oxigênio superior a 30% pode ser necessária.</w:t>
      </w:r>
    </w:p>
    <w:p w14:paraId="0E8AEC5F" w14:textId="593471C1" w:rsidR="00670B8E" w:rsidRPr="008C1061" w:rsidRDefault="00670B8E" w:rsidP="00670B8E">
      <w:pPr>
        <w:jc w:val="both"/>
        <w:rPr>
          <w:rFonts w:ascii="LindeDaxOffice Medium" w:hAnsi="LindeDaxOffice Medium"/>
          <w:sz w:val="18"/>
          <w:szCs w:val="18"/>
        </w:rPr>
      </w:pPr>
      <w:r w:rsidRPr="008C1061">
        <w:rPr>
          <w:rFonts w:ascii="LindeDaxOffice Medium" w:hAnsi="LindeDaxOffice Medium"/>
          <w:b/>
          <w:bCs/>
          <w:sz w:val="18"/>
          <w:szCs w:val="18"/>
        </w:rPr>
        <w:t>Indicações:</w:t>
      </w:r>
      <w:r w:rsidRPr="008C1061">
        <w:rPr>
          <w:rFonts w:ascii="LindeDaxOffice Medium" w:hAnsi="LindeDaxOffice Medium"/>
          <w:sz w:val="18"/>
          <w:szCs w:val="18"/>
        </w:rPr>
        <w:t xml:space="preserve"> </w:t>
      </w:r>
      <w:r w:rsidR="00F734A3" w:rsidRPr="008C1061">
        <w:rPr>
          <w:rFonts w:ascii="LindeDaxOffice Medium" w:hAnsi="LindeDaxOffice Medium"/>
          <w:sz w:val="18"/>
          <w:szCs w:val="18"/>
        </w:rPr>
        <w:t>Como agente sedativo ou analgésico em pequenos procedimentos cirúrgicos ou de diagnóstico e no tratamento odontológico.</w:t>
      </w:r>
    </w:p>
    <w:p w14:paraId="4A8D37A6" w14:textId="41808407" w:rsidR="00670B8E" w:rsidRPr="008C1061" w:rsidRDefault="00670B8E" w:rsidP="00670B8E">
      <w:pPr>
        <w:jc w:val="both"/>
        <w:rPr>
          <w:rFonts w:ascii="LindeDaxOffice Medium" w:hAnsi="LindeDaxOffice Medium"/>
          <w:sz w:val="18"/>
          <w:szCs w:val="18"/>
        </w:rPr>
      </w:pPr>
      <w:r w:rsidRPr="008C1061">
        <w:rPr>
          <w:rFonts w:ascii="LindeDaxOffice Medium" w:hAnsi="LindeDaxOffice Medium"/>
          <w:b/>
          <w:bCs/>
          <w:sz w:val="18"/>
          <w:szCs w:val="18"/>
        </w:rPr>
        <w:t>Contraindicações:</w:t>
      </w:r>
      <w:r w:rsidRPr="008C1061">
        <w:rPr>
          <w:rFonts w:ascii="LindeDaxOffice Medium" w:hAnsi="LindeDaxOffice Medium"/>
          <w:sz w:val="18"/>
          <w:szCs w:val="18"/>
        </w:rPr>
        <w:t xml:space="preserve"> </w:t>
      </w:r>
      <w:r w:rsidR="00503CF1" w:rsidRPr="008C1061">
        <w:rPr>
          <w:rFonts w:ascii="LindeDaxOffice Medium" w:hAnsi="LindeDaxOffice Medium"/>
          <w:sz w:val="18"/>
          <w:szCs w:val="18"/>
        </w:rPr>
        <w:t>pacientes com hipersensibilidade ao óxido nitroso. Pacientes que possam estar com bolhas de gás (embolia gasosa) ou ar aprisionadas no sangue, em órgãos ou em cavidades corporais. Pacientes com íleo paralítico ou submetidos a cirurgias maiores do intestino. Pacientes com deficiência de vitamina B12 (anemia perniciosa), de ácido fólico, ou da enzima diidropteridina redutase e, ainda, aqueles com outras deficiências nutricionais (como alcoolistas). Pacientes submetidos à terapia com bleomicina. Pacientes com aumento da pressão intracraniana, como na ocorrência de tumores ou hemorragia. Pacientes com insuficiência cardíaca ou hipotensão severa. Pacientes que apresentam um nível de consciência e/ou cooperabilidade reduzido, em virtude do risco de perda dos reflexos de proteção. Gestantes nos 6 (seis) primeiros meses de gravidez. Não deve ser usado durante a amamentação e o potencial efeito de doses clínicas de óxido nitroso na fertilidade é desconhecido.</w:t>
      </w:r>
    </w:p>
    <w:p w14:paraId="57AA9FDE" w14:textId="37F54640" w:rsidR="00B54D64" w:rsidRPr="008C1061" w:rsidRDefault="00B54D64" w:rsidP="00B54D64">
      <w:pPr>
        <w:jc w:val="both"/>
        <w:rPr>
          <w:rFonts w:ascii="LindeDaxOffice Medium" w:hAnsi="LindeDaxOffice Medium"/>
          <w:sz w:val="18"/>
          <w:szCs w:val="18"/>
        </w:rPr>
      </w:pPr>
      <w:r w:rsidRPr="008C1061">
        <w:rPr>
          <w:rFonts w:ascii="LindeDaxOffice Medium" w:hAnsi="LindeDaxOffice Medium"/>
          <w:b/>
          <w:bCs/>
          <w:sz w:val="18"/>
          <w:szCs w:val="18"/>
        </w:rPr>
        <w:t>Precauções:</w:t>
      </w:r>
      <w:r w:rsidRPr="008C1061">
        <w:rPr>
          <w:rFonts w:ascii="LindeDaxOffice Medium" w:hAnsi="LindeDaxOffice Medium"/>
          <w:sz w:val="18"/>
          <w:szCs w:val="18"/>
        </w:rPr>
        <w:t xml:space="preserve"> </w:t>
      </w:r>
      <w:r w:rsidR="00B8752D" w:rsidRPr="008C1061">
        <w:rPr>
          <w:rFonts w:ascii="LindeDaxOffice Medium" w:hAnsi="LindeDaxOffice Medium"/>
          <w:sz w:val="18"/>
          <w:szCs w:val="18"/>
        </w:rPr>
        <w:t>após a administração de óxido nitroso medicinal, o paciente deve aguardar tempo suficiente para recuperação de suas funções psicomotoras antes de dirigir veículos ou operar máquinas. A exposição crônica ao óxido nitroso medicinal pode causar danos cerebrais, lesão aos nervos periféricos, alterações hematológicas e morte, portanto deve-se realizar monitoramento hematológico nos pacientes e profissionais cronicamente expostos. O vazamento de óxido nitroso medicinal em ambientes mal ventilados pode ocasionar tontura, sonolência, narcose, asfixia e morte por falta de oxigênio. A administração ou exposição repetida pode levar à dependência. Em caso de inalação, remova a pessoa para local ventilado e a mantenha em repouso numa posição que não dificulte a respiração. Só deve ser usado onde for possível administrar oxigênio suplementar e na presença de pessoal treinado em procedimentos de emergência. Pode aumentar a pressão em balões de cateteres, por exemplo, na intubação traqueal. Após a anestesia geral, recomenda-se o uso de oxigênio suplementar e o monitoramento da saturação de oxigênio com oximetria de pulso. Por inativar a vitamina B12/ácido fólico, o uso prolongado ou frequente pode resultar em alterações megaloblásticas da medula óssea, mieloneuropatia e degeneração combinada subaguda da medula espinhal. Deve-se considerar a possibilidade de reposição da vitamina B12/ácido fólico.</w:t>
      </w:r>
    </w:p>
    <w:p w14:paraId="15A33BDB" w14:textId="50AAC143" w:rsidR="007F119C" w:rsidRPr="008C1061" w:rsidRDefault="007F119C" w:rsidP="007F119C">
      <w:pPr>
        <w:jc w:val="both"/>
        <w:rPr>
          <w:rFonts w:ascii="LindeDaxOffice Medium" w:hAnsi="LindeDaxOffice Medium"/>
          <w:sz w:val="18"/>
          <w:szCs w:val="18"/>
        </w:rPr>
      </w:pPr>
      <w:r w:rsidRPr="008C1061">
        <w:rPr>
          <w:rFonts w:ascii="LindeDaxOffice Medium" w:hAnsi="LindeDaxOffice Medium"/>
          <w:b/>
          <w:bCs/>
          <w:sz w:val="18"/>
          <w:szCs w:val="18"/>
        </w:rPr>
        <w:t>Reações Adversas:</w:t>
      </w:r>
      <w:r w:rsidRPr="008C1061">
        <w:rPr>
          <w:rFonts w:ascii="LindeDaxOffice Medium" w:hAnsi="LindeDaxOffice Medium"/>
          <w:sz w:val="18"/>
          <w:szCs w:val="18"/>
        </w:rPr>
        <w:t xml:space="preserve"> </w:t>
      </w:r>
      <w:r w:rsidR="00305E97" w:rsidRPr="008C1061">
        <w:rPr>
          <w:rFonts w:ascii="LindeDaxOffice Medium" w:hAnsi="LindeDaxOffice Medium"/>
          <w:sz w:val="18"/>
          <w:szCs w:val="18"/>
        </w:rPr>
        <w:t>náusea e vômito. Dores na cabeça e tontura. Disritmias cardíacas. Pode levar ao aumento de pneumotórax, de embolismo aéreo, da pressão no ouvido médio e nos seios da face, de distensão de alças intestinais e de bolhas de gás no espaço epidural. Hipóxia difusional (hipóxia de Fink). Conforme literatura médica científica de domínio público e da farmacovigilância pós-comercialização, devido aos efeitos do óxido nitroso na vitamina B12, em casos de administração prolongada ou repetida de óxido nitroso, foram relatados casos de anemia megaloblástica e leucopenia. Com administração excepcionalmente intensa ou frequente, foram relatados distúrbios neurológicos como mielopatia ou polineuropatia.</w:t>
      </w:r>
    </w:p>
    <w:p w14:paraId="778979F5" w14:textId="77777777" w:rsidR="00C24EA0" w:rsidRPr="008C1061" w:rsidRDefault="007F119C" w:rsidP="005556AD">
      <w:pPr>
        <w:jc w:val="both"/>
        <w:rPr>
          <w:rFonts w:ascii="LindeDaxOffice Medium" w:hAnsi="LindeDaxOffice Medium"/>
          <w:sz w:val="18"/>
          <w:szCs w:val="18"/>
        </w:rPr>
      </w:pPr>
      <w:r w:rsidRPr="008C1061">
        <w:rPr>
          <w:rFonts w:ascii="LindeDaxOffice Medium" w:hAnsi="LindeDaxOffice Medium"/>
          <w:b/>
          <w:bCs/>
          <w:sz w:val="18"/>
          <w:szCs w:val="18"/>
        </w:rPr>
        <w:t>Interações Medicamentosas:</w:t>
      </w:r>
      <w:r w:rsidRPr="008C1061">
        <w:rPr>
          <w:rFonts w:ascii="LindeDaxOffice Medium" w:hAnsi="LindeDaxOffice Medium"/>
          <w:sz w:val="18"/>
          <w:szCs w:val="18"/>
        </w:rPr>
        <w:t xml:space="preserve"> </w:t>
      </w:r>
      <w:r w:rsidR="00C24EA0" w:rsidRPr="008C1061">
        <w:rPr>
          <w:rFonts w:ascii="LindeDaxOffice Medium" w:hAnsi="LindeDaxOffice Medium"/>
          <w:sz w:val="18"/>
          <w:szCs w:val="18"/>
        </w:rPr>
        <w:t>o óxido nitroso medicinal potencializa os efeitos do metotrexato. A administração de óxido nitroso medicinal concomitantemente a outros medicamentos depressores do sistema nervoso central, como derivados de morfina ou benzodiazepínicos, pode resultar em sedação elevada e, consequentemente, afetar a respiração, a circulação sanguínea e os reflexos de proteção.</w:t>
      </w:r>
    </w:p>
    <w:p w14:paraId="23200A73" w14:textId="77777777" w:rsidR="008509DB" w:rsidRPr="008C1061" w:rsidRDefault="005556AD" w:rsidP="008509DB">
      <w:pPr>
        <w:rPr>
          <w:rFonts w:ascii="LindeDaxOffice Medium" w:hAnsi="LindeDaxOffice Medium"/>
          <w:sz w:val="18"/>
          <w:szCs w:val="18"/>
        </w:rPr>
      </w:pPr>
      <w:r w:rsidRPr="008C1061">
        <w:rPr>
          <w:rFonts w:ascii="LindeDaxOffice Medium" w:hAnsi="LindeDaxOffice Medium"/>
          <w:b/>
          <w:bCs/>
          <w:sz w:val="18"/>
          <w:szCs w:val="18"/>
        </w:rPr>
        <w:t>Linha de Produção:</w:t>
      </w:r>
      <w:r w:rsidRPr="008C1061">
        <w:rPr>
          <w:rFonts w:ascii="LindeDaxOffice Medium" w:hAnsi="LindeDaxOffice Medium"/>
          <w:sz w:val="18"/>
          <w:szCs w:val="18"/>
        </w:rPr>
        <w:t xml:space="preserve"> </w:t>
      </w:r>
      <w:r w:rsidR="008509DB" w:rsidRPr="008C1061">
        <w:rPr>
          <w:rFonts w:ascii="LindeDaxOffice Medium" w:hAnsi="LindeDaxOffice Medium"/>
          <w:sz w:val="18"/>
          <w:szCs w:val="18"/>
        </w:rPr>
        <w:t>Gás medicinal, liquefeito.</w:t>
      </w:r>
    </w:p>
    <w:p w14:paraId="3A136CDA" w14:textId="1990A9DD" w:rsidR="002E614E" w:rsidRPr="008C1061" w:rsidRDefault="002E614E" w:rsidP="00BE70E6">
      <w:pPr>
        <w:jc w:val="both"/>
        <w:rPr>
          <w:rFonts w:ascii="LindeDaxOffice Medium" w:hAnsi="LindeDaxOffice Medium"/>
          <w:sz w:val="18"/>
          <w:szCs w:val="18"/>
        </w:rPr>
      </w:pPr>
      <w:r w:rsidRPr="008C1061">
        <w:rPr>
          <w:rFonts w:ascii="LindeDaxOffice Medium" w:hAnsi="LindeDaxOffice Medium"/>
          <w:b/>
          <w:bCs/>
          <w:sz w:val="18"/>
          <w:szCs w:val="18"/>
        </w:rPr>
        <w:t>Posologia e Administração:</w:t>
      </w:r>
      <w:r w:rsidRPr="008C1061">
        <w:rPr>
          <w:rFonts w:ascii="LindeDaxOffice Medium" w:hAnsi="LindeDaxOffice Medium"/>
          <w:sz w:val="18"/>
          <w:szCs w:val="18"/>
        </w:rPr>
        <w:t xml:space="preserve"> </w:t>
      </w:r>
      <w:r w:rsidR="00AD412C" w:rsidRPr="008C1061">
        <w:rPr>
          <w:rFonts w:ascii="LindeDaxOffice Medium" w:hAnsi="LindeDaxOffice Medium"/>
          <w:sz w:val="18"/>
          <w:szCs w:val="18"/>
        </w:rPr>
        <w:t>A concentração, o fluxo e o tempo de administração dos gases medicinais devem ser determinados pelo profissional de saúde habilitado de acordo com o procedimento realizado e o estado de saúde do paciente. Na administração dos gases medicinais por inalação deve-se assegurar quantidade adequada de oxigênio na mistura de acordo com o procedimento realizado e o estado de saúde do paciente, a fim de evitar asfixia. Para uso domiciliar, o paciente deve receber treinamento completo sobre o uso do gás medicinal e equipamentos.</w:t>
      </w:r>
    </w:p>
    <w:p w14:paraId="4A54BA26" w14:textId="7B143211" w:rsidR="00DD0EDC" w:rsidRPr="008C1061" w:rsidRDefault="00306017" w:rsidP="00BE70E6">
      <w:pPr>
        <w:jc w:val="both"/>
        <w:rPr>
          <w:rFonts w:ascii="LindeDaxOffice Medium" w:hAnsi="LindeDaxOffice Medium"/>
          <w:sz w:val="18"/>
          <w:szCs w:val="18"/>
        </w:rPr>
      </w:pPr>
      <w:r w:rsidRPr="008C1061">
        <w:rPr>
          <w:rFonts w:ascii="LindeDaxOffice Medium" w:hAnsi="LindeDaxOffice Medium"/>
          <w:b/>
          <w:bCs/>
          <w:sz w:val="18"/>
          <w:szCs w:val="18"/>
        </w:rPr>
        <w:t>Manuseio e</w:t>
      </w:r>
      <w:r w:rsidR="002E614E" w:rsidRPr="008C1061">
        <w:rPr>
          <w:rFonts w:ascii="LindeDaxOffice Medium" w:hAnsi="LindeDaxOffice Medium"/>
          <w:b/>
          <w:bCs/>
          <w:sz w:val="18"/>
          <w:szCs w:val="18"/>
        </w:rPr>
        <w:t xml:space="preserve"> Armazenamento</w:t>
      </w:r>
      <w:r w:rsidR="00DD0EDC" w:rsidRPr="008C1061">
        <w:rPr>
          <w:rFonts w:ascii="LindeDaxOffice Medium" w:hAnsi="LindeDaxOffice Medium"/>
          <w:b/>
          <w:bCs/>
          <w:sz w:val="18"/>
          <w:szCs w:val="18"/>
        </w:rPr>
        <w:t>:</w:t>
      </w:r>
      <w:r w:rsidR="004677F7" w:rsidRPr="008C1061">
        <w:rPr>
          <w:rFonts w:ascii="LindeDaxOffice Medium" w:hAnsi="LindeDaxOffice Medium"/>
          <w:sz w:val="18"/>
          <w:szCs w:val="18"/>
        </w:rPr>
        <w:t xml:space="preserve"> </w:t>
      </w:r>
      <w:r w:rsidR="00B06796" w:rsidRPr="008C1061">
        <w:rPr>
          <w:rFonts w:ascii="LindeDaxOffice Medium" w:hAnsi="LindeDaxOffice Medium"/>
          <w:sz w:val="18"/>
          <w:szCs w:val="18"/>
        </w:rPr>
        <w:t>Pode provocar ou agravar um incêndio, comburente/oxidante; mantenha afastado de vestimentas e outros materiais combustíveis; mantenha conexões isentas de óleos e graxas; utilize apenas ao ar livre ou em locais bem ventilados; em caso de inalação remova a pessoa para local ventilado e a mantenha em repouso numa posição que não dificulte a respiração;  caso sinta indisposição, contate um Centro de Informação e Assistência Toxicológica/ Médico; em caso de incêndio contenha o vazamento apenas se puder ser feito com segurança.</w:t>
      </w:r>
    </w:p>
    <w:p w14:paraId="784338D2" w14:textId="77777777" w:rsidR="005C0892" w:rsidRPr="008C1061" w:rsidRDefault="00E4280D" w:rsidP="00E4280D">
      <w:pPr>
        <w:spacing w:after="0" w:line="240" w:lineRule="auto"/>
        <w:jc w:val="both"/>
        <w:rPr>
          <w:rFonts w:ascii="LindeDaxOffice Medium" w:hAnsi="LindeDaxOffice Medium"/>
          <w:sz w:val="18"/>
          <w:szCs w:val="18"/>
        </w:rPr>
      </w:pPr>
      <w:r w:rsidRPr="008C1061">
        <w:rPr>
          <w:rFonts w:ascii="LindeDaxOffice Medium" w:hAnsi="LindeDaxOffice Medium"/>
          <w:sz w:val="18"/>
          <w:szCs w:val="18"/>
        </w:rPr>
        <w:t>Informe ao seu médico ou cirurgião-dentista o aparecimento de reações indesejáveis pelo uso do gás medicinal. Informe também à empresa através do seu serviço de atendimento.</w:t>
      </w:r>
    </w:p>
    <w:p w14:paraId="57260816" w14:textId="19A4447F" w:rsidR="005C0892" w:rsidRPr="008C1061" w:rsidRDefault="00E4280D" w:rsidP="00E4280D">
      <w:pPr>
        <w:spacing w:after="0" w:line="240" w:lineRule="auto"/>
        <w:jc w:val="both"/>
        <w:rPr>
          <w:rFonts w:ascii="LindeDaxOffice Medium" w:hAnsi="LindeDaxOffice Medium"/>
          <w:sz w:val="18"/>
          <w:szCs w:val="18"/>
        </w:rPr>
      </w:pPr>
      <w:r w:rsidRPr="008C1061">
        <w:rPr>
          <w:rFonts w:ascii="LindeDaxOffice Medium" w:hAnsi="LindeDaxOffice Medium"/>
          <w:sz w:val="18"/>
          <w:szCs w:val="18"/>
        </w:rPr>
        <w:t>Em caso de dúvidas sobre o uso deste gás medicinal, procure orientação de um profissional de saúde.</w:t>
      </w:r>
    </w:p>
    <w:p w14:paraId="79B13CD0" w14:textId="4FB76A6A" w:rsidR="00E4280D" w:rsidRPr="008C1061" w:rsidRDefault="00E4280D" w:rsidP="00E4280D">
      <w:pPr>
        <w:spacing w:after="0" w:line="240" w:lineRule="auto"/>
        <w:jc w:val="both"/>
        <w:rPr>
          <w:rFonts w:ascii="LindeDaxOffice Medium" w:hAnsi="LindeDaxOffice Medium"/>
          <w:sz w:val="18"/>
          <w:szCs w:val="18"/>
        </w:rPr>
      </w:pPr>
      <w:r w:rsidRPr="008C1061">
        <w:rPr>
          <w:rFonts w:ascii="LindeDaxOffice Medium" w:hAnsi="LindeDaxOffice Medium"/>
          <w:sz w:val="18"/>
          <w:szCs w:val="18"/>
        </w:rPr>
        <w:t>Uso sob Prescrição Médica. Produto Exclusivamente de Uso Medicinal.</w:t>
      </w:r>
    </w:p>
    <w:p w14:paraId="1F76F2F9" w14:textId="4E3833B2" w:rsidR="00E4280D" w:rsidRPr="008C1061" w:rsidRDefault="00E4280D" w:rsidP="00E4280D">
      <w:pPr>
        <w:spacing w:after="0" w:line="240" w:lineRule="auto"/>
        <w:jc w:val="both"/>
        <w:rPr>
          <w:rFonts w:ascii="LindeDaxOffice Medium" w:hAnsi="LindeDaxOffice Medium"/>
          <w:sz w:val="18"/>
          <w:szCs w:val="18"/>
        </w:rPr>
      </w:pPr>
      <w:r w:rsidRPr="008C1061">
        <w:rPr>
          <w:rFonts w:ascii="LindeDaxOffice Medium" w:hAnsi="LindeDaxOffice Medium"/>
          <w:sz w:val="18"/>
          <w:szCs w:val="18"/>
        </w:rPr>
        <w:t>TODO MEDICAMENTO DEVE SER MANTIDO FORA DO ALCANCE DAS CRIANÇAS.</w:t>
      </w:r>
    </w:p>
    <w:p w14:paraId="3153F43A" w14:textId="4983326B" w:rsidR="00E4280D" w:rsidRPr="008C1061" w:rsidRDefault="00E4280D" w:rsidP="00E4280D">
      <w:pPr>
        <w:spacing w:after="0" w:line="240" w:lineRule="auto"/>
        <w:jc w:val="both"/>
        <w:rPr>
          <w:rFonts w:ascii="LindeDaxOffice Medium" w:hAnsi="LindeDaxOffice Medium"/>
          <w:sz w:val="18"/>
          <w:szCs w:val="18"/>
        </w:rPr>
      </w:pPr>
      <w:r w:rsidRPr="008C1061">
        <w:rPr>
          <w:rFonts w:ascii="LindeDaxOffice Medium" w:hAnsi="LindeDaxOffice Medium"/>
          <w:sz w:val="18"/>
          <w:szCs w:val="18"/>
        </w:rPr>
        <w:t>Gás medicinal notificado conforme RDC nº 870, de 17 de maio de 2024.</w:t>
      </w:r>
    </w:p>
    <w:p w14:paraId="36030917" w14:textId="77777777" w:rsidR="00E67E4D" w:rsidRPr="008C1061" w:rsidRDefault="00E4280D" w:rsidP="00E4280D">
      <w:pPr>
        <w:spacing w:after="0" w:line="240" w:lineRule="auto"/>
        <w:jc w:val="both"/>
        <w:rPr>
          <w:rFonts w:ascii="LindeDaxOffice Medium" w:hAnsi="LindeDaxOffice Medium"/>
          <w:sz w:val="18"/>
          <w:szCs w:val="18"/>
        </w:rPr>
      </w:pPr>
      <w:r w:rsidRPr="008C1061">
        <w:rPr>
          <w:rFonts w:ascii="LindeDaxOffice Medium" w:hAnsi="LindeDaxOffice Medium"/>
          <w:sz w:val="18"/>
          <w:szCs w:val="18"/>
        </w:rPr>
        <w:t>Notificado por: Consultar frente do certificado de qualidade.</w:t>
      </w:r>
    </w:p>
    <w:p w14:paraId="7CCD30A1" w14:textId="3D0DADC8" w:rsidR="00E4280D" w:rsidRPr="008C1061" w:rsidRDefault="00E4280D" w:rsidP="00E4280D">
      <w:pPr>
        <w:spacing w:after="0" w:line="240" w:lineRule="auto"/>
        <w:jc w:val="both"/>
        <w:rPr>
          <w:rFonts w:ascii="LindeDaxOffice Medium" w:hAnsi="LindeDaxOffice Medium"/>
          <w:sz w:val="18"/>
          <w:szCs w:val="18"/>
        </w:rPr>
      </w:pPr>
      <w:r w:rsidRPr="008C1061">
        <w:rPr>
          <w:rFonts w:ascii="LindeDaxOffice Medium" w:hAnsi="LindeDaxOffice Medium"/>
          <w:sz w:val="18"/>
          <w:szCs w:val="18"/>
        </w:rPr>
        <w:t xml:space="preserve">Envasado por: Consultar </w:t>
      </w:r>
      <w:r w:rsidR="004B2446" w:rsidRPr="008C1061">
        <w:rPr>
          <w:rFonts w:ascii="LindeDaxOffice Medium" w:hAnsi="LindeDaxOffice Medium"/>
          <w:sz w:val="18"/>
          <w:szCs w:val="18"/>
        </w:rPr>
        <w:t xml:space="preserve">frente do certificado de qualidade </w:t>
      </w:r>
      <w:r w:rsidRPr="008C1061">
        <w:rPr>
          <w:rFonts w:ascii="LindeDaxOffice Medium" w:hAnsi="LindeDaxOffice Medium"/>
          <w:sz w:val="18"/>
          <w:szCs w:val="18"/>
        </w:rPr>
        <w:t>campo “Dados White Martins”.</w:t>
      </w:r>
    </w:p>
    <w:p w14:paraId="18413BEA" w14:textId="77777777" w:rsidR="00E67E4D" w:rsidRDefault="00E67E4D" w:rsidP="006C2619">
      <w:pPr>
        <w:autoSpaceDE w:val="0"/>
        <w:autoSpaceDN w:val="0"/>
        <w:adjustRightInd w:val="0"/>
        <w:jc w:val="both"/>
        <w:rPr>
          <w:rFonts w:ascii="LindeDaxOffice Medium" w:hAnsi="LindeDaxOffice Medium"/>
          <w:b/>
          <w:caps/>
          <w:sz w:val="24"/>
        </w:rPr>
      </w:pPr>
    </w:p>
    <w:p w14:paraId="3A4414CD" w14:textId="3AA99EE3" w:rsidR="006C2619" w:rsidRPr="006941CF" w:rsidRDefault="006C2619" w:rsidP="006C2619">
      <w:pPr>
        <w:autoSpaceDE w:val="0"/>
        <w:autoSpaceDN w:val="0"/>
        <w:adjustRightInd w:val="0"/>
        <w:jc w:val="both"/>
        <w:rPr>
          <w:rFonts w:ascii="LindeDaxOffice Medium" w:hAnsi="LindeDaxOffice Medium"/>
          <w:b/>
          <w:caps/>
          <w:sz w:val="24"/>
        </w:rPr>
      </w:pPr>
      <w:r w:rsidRPr="006941CF">
        <w:rPr>
          <w:rFonts w:ascii="LindeDaxOffice Medium" w:hAnsi="LindeDaxOffice Medium"/>
          <w:b/>
          <w:caps/>
          <w:sz w:val="24"/>
        </w:rPr>
        <w:t>Esta página não deve ser impressa, é apenas para controle do histórico de versões.</w:t>
      </w:r>
    </w:p>
    <w:p w14:paraId="60DEBF3B" w14:textId="77777777" w:rsidR="006C2619" w:rsidRPr="006941CF" w:rsidRDefault="006C2619" w:rsidP="006C2619">
      <w:pPr>
        <w:autoSpaceDE w:val="0"/>
        <w:autoSpaceDN w:val="0"/>
        <w:adjustRightInd w:val="0"/>
        <w:jc w:val="both"/>
        <w:rPr>
          <w:rFonts w:ascii="LindeDaxOffice Medium" w:hAnsi="LindeDaxOffice Medium"/>
          <w:b/>
          <w:caps/>
          <w:sz w:val="24"/>
        </w:rPr>
      </w:pPr>
    </w:p>
    <w:p w14:paraId="5C5B3491" w14:textId="77777777" w:rsidR="006C2619" w:rsidRPr="006941CF" w:rsidRDefault="006C2619" w:rsidP="006C2619">
      <w:pPr>
        <w:autoSpaceDE w:val="0"/>
        <w:autoSpaceDN w:val="0"/>
        <w:adjustRightInd w:val="0"/>
        <w:jc w:val="both"/>
        <w:rPr>
          <w:rFonts w:ascii="LindeDaxOffice Medium" w:hAnsi="LindeDaxOffice Medium"/>
          <w:b/>
          <w:caps/>
          <w:sz w:val="24"/>
        </w:rPr>
      </w:pPr>
      <w:r w:rsidRPr="006941CF">
        <w:rPr>
          <w:rFonts w:ascii="LindeDaxOffice Medium" w:hAnsi="LindeDaxOffice Medium"/>
          <w:b/>
          <w:caps/>
          <w:sz w:val="24"/>
        </w:rPr>
        <w:t>Histórico de Versões</w:t>
      </w:r>
    </w:p>
    <w:p w14:paraId="31FC7B5D" w14:textId="77777777" w:rsidR="006C2619" w:rsidRPr="006941CF" w:rsidRDefault="006C2619" w:rsidP="006C2619">
      <w:pPr>
        <w:autoSpaceDE w:val="0"/>
        <w:autoSpaceDN w:val="0"/>
        <w:adjustRightInd w:val="0"/>
        <w:jc w:val="both"/>
        <w:rPr>
          <w:rFonts w:ascii="LindeDaxOffice Medium" w:hAnsi="LindeDaxOffice Medium"/>
          <w:szCs w:val="20"/>
        </w:rPr>
      </w:pPr>
    </w:p>
    <w:tbl>
      <w:tblPr>
        <w:tblW w:w="977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35"/>
        <w:gridCol w:w="1353"/>
        <w:gridCol w:w="6391"/>
      </w:tblGrid>
      <w:tr w:rsidR="006941CF" w:rsidRPr="006941CF" w14:paraId="324FC67D" w14:textId="77777777" w:rsidTr="00340B5D">
        <w:trPr>
          <w:trHeight w:val="256"/>
        </w:trPr>
        <w:tc>
          <w:tcPr>
            <w:tcW w:w="2035" w:type="dxa"/>
            <w:shd w:val="clear" w:color="auto" w:fill="auto"/>
            <w:noWrap/>
            <w:vAlign w:val="bottom"/>
            <w:hideMark/>
          </w:tcPr>
          <w:p w14:paraId="3E156CB6" w14:textId="77777777" w:rsidR="006C2619" w:rsidRPr="006941CF" w:rsidRDefault="006C2619" w:rsidP="005A3BA3">
            <w:pPr>
              <w:jc w:val="center"/>
              <w:rPr>
                <w:rFonts w:ascii="LindeDaxOffice Medium" w:hAnsi="LindeDaxOffice Medium"/>
                <w:b/>
                <w:bCs/>
                <w:szCs w:val="20"/>
              </w:rPr>
            </w:pPr>
            <w:r w:rsidRPr="006941CF">
              <w:rPr>
                <w:rFonts w:ascii="LindeDaxOffice Medium" w:hAnsi="LindeDaxOffice Medium"/>
                <w:b/>
                <w:bCs/>
                <w:szCs w:val="20"/>
              </w:rPr>
              <w:t xml:space="preserve">Revisão </w:t>
            </w:r>
          </w:p>
        </w:tc>
        <w:tc>
          <w:tcPr>
            <w:tcW w:w="1353" w:type="dxa"/>
            <w:shd w:val="clear" w:color="auto" w:fill="auto"/>
            <w:noWrap/>
            <w:vAlign w:val="bottom"/>
            <w:hideMark/>
          </w:tcPr>
          <w:p w14:paraId="56F8585C" w14:textId="77777777" w:rsidR="006C2619" w:rsidRPr="006941CF" w:rsidRDefault="006C2619" w:rsidP="005A3BA3">
            <w:pPr>
              <w:jc w:val="center"/>
              <w:rPr>
                <w:rFonts w:ascii="LindeDaxOffice Medium" w:hAnsi="LindeDaxOffice Medium"/>
                <w:b/>
                <w:bCs/>
                <w:szCs w:val="20"/>
              </w:rPr>
            </w:pPr>
            <w:r w:rsidRPr="006941CF">
              <w:rPr>
                <w:rFonts w:ascii="LindeDaxOffice Medium" w:hAnsi="LindeDaxOffice Medium"/>
                <w:b/>
                <w:bCs/>
                <w:szCs w:val="20"/>
              </w:rPr>
              <w:t>Data</w:t>
            </w:r>
          </w:p>
        </w:tc>
        <w:tc>
          <w:tcPr>
            <w:tcW w:w="6391" w:type="dxa"/>
            <w:shd w:val="clear" w:color="auto" w:fill="auto"/>
            <w:noWrap/>
            <w:vAlign w:val="bottom"/>
            <w:hideMark/>
          </w:tcPr>
          <w:p w14:paraId="10629DE3" w14:textId="77777777" w:rsidR="006C2619" w:rsidRPr="006941CF" w:rsidRDefault="006C2619" w:rsidP="005A3BA3">
            <w:pPr>
              <w:jc w:val="center"/>
              <w:rPr>
                <w:rFonts w:ascii="LindeDaxOffice Medium" w:hAnsi="LindeDaxOffice Medium"/>
                <w:b/>
                <w:bCs/>
                <w:szCs w:val="20"/>
              </w:rPr>
            </w:pPr>
            <w:r w:rsidRPr="006941CF">
              <w:rPr>
                <w:rFonts w:ascii="LindeDaxOffice Medium" w:hAnsi="LindeDaxOffice Medium"/>
                <w:b/>
                <w:bCs/>
                <w:szCs w:val="20"/>
              </w:rPr>
              <w:t>Descrição das Alterações</w:t>
            </w:r>
          </w:p>
        </w:tc>
      </w:tr>
      <w:tr w:rsidR="00263225" w:rsidRPr="006941CF" w14:paraId="5134568C" w14:textId="77777777" w:rsidTr="00340B5D">
        <w:trPr>
          <w:trHeight w:val="758"/>
        </w:trPr>
        <w:tc>
          <w:tcPr>
            <w:tcW w:w="2035" w:type="dxa"/>
            <w:shd w:val="clear" w:color="auto" w:fill="auto"/>
            <w:noWrap/>
            <w:vAlign w:val="center"/>
          </w:tcPr>
          <w:p w14:paraId="3C41FE43" w14:textId="37BCDA2B" w:rsidR="00263225" w:rsidRPr="006941CF" w:rsidRDefault="00263225" w:rsidP="00263225">
            <w:pPr>
              <w:jc w:val="center"/>
              <w:rPr>
                <w:rFonts w:ascii="LindeDaxOffice Medium" w:hAnsi="LindeDaxOffice Medium"/>
                <w:szCs w:val="20"/>
              </w:rPr>
            </w:pPr>
            <w:r>
              <w:rPr>
                <w:rFonts w:ascii="LindeDaxOffice Medium" w:hAnsi="LindeDaxOffice Medium"/>
                <w:color w:val="000000"/>
                <w:szCs w:val="20"/>
              </w:rPr>
              <w:t>0</w:t>
            </w:r>
            <w:r w:rsidR="00BE4825">
              <w:rPr>
                <w:rFonts w:ascii="LindeDaxOffice Medium" w:hAnsi="LindeDaxOffice Medium"/>
                <w:color w:val="000000"/>
                <w:szCs w:val="20"/>
              </w:rPr>
              <w:t>0</w:t>
            </w:r>
          </w:p>
        </w:tc>
        <w:tc>
          <w:tcPr>
            <w:tcW w:w="1353" w:type="dxa"/>
            <w:shd w:val="clear" w:color="auto" w:fill="auto"/>
            <w:noWrap/>
            <w:vAlign w:val="center"/>
          </w:tcPr>
          <w:p w14:paraId="4AC420E3" w14:textId="23007A9D" w:rsidR="00263225" w:rsidRPr="006941CF" w:rsidRDefault="00263225" w:rsidP="00263225">
            <w:pPr>
              <w:jc w:val="center"/>
              <w:rPr>
                <w:rFonts w:ascii="LindeDaxOffice Medium" w:hAnsi="LindeDaxOffice Medium"/>
                <w:szCs w:val="20"/>
              </w:rPr>
            </w:pPr>
            <w:r>
              <w:rPr>
                <w:rFonts w:ascii="LindeDaxOffice Medium" w:hAnsi="LindeDaxOffice Medium"/>
                <w:color w:val="000000"/>
                <w:szCs w:val="20"/>
              </w:rPr>
              <w:t>1</w:t>
            </w:r>
            <w:r w:rsidR="00BE4825">
              <w:rPr>
                <w:rFonts w:ascii="LindeDaxOffice Medium" w:hAnsi="LindeDaxOffice Medium"/>
                <w:color w:val="000000"/>
                <w:szCs w:val="20"/>
              </w:rPr>
              <w:t>9</w:t>
            </w:r>
            <w:r>
              <w:rPr>
                <w:rFonts w:ascii="LindeDaxOffice Medium" w:hAnsi="LindeDaxOffice Medium"/>
                <w:color w:val="000000"/>
                <w:szCs w:val="20"/>
              </w:rPr>
              <w:t>/06/2026</w:t>
            </w:r>
          </w:p>
        </w:tc>
        <w:tc>
          <w:tcPr>
            <w:tcW w:w="6391" w:type="dxa"/>
            <w:shd w:val="clear" w:color="auto" w:fill="auto"/>
            <w:noWrap/>
            <w:vAlign w:val="center"/>
          </w:tcPr>
          <w:p w14:paraId="612E886B" w14:textId="6B9766C6" w:rsidR="00263225" w:rsidRPr="006941CF" w:rsidRDefault="0069602C" w:rsidP="00263225">
            <w:pPr>
              <w:spacing w:after="0"/>
              <w:jc w:val="both"/>
              <w:rPr>
                <w:rFonts w:ascii="LindeDaxOffice Medium" w:hAnsi="LindeDaxOffice Medium"/>
                <w:szCs w:val="20"/>
              </w:rPr>
            </w:pPr>
            <w:r>
              <w:rPr>
                <w:rFonts w:ascii="LindeDaxOffice Medium" w:hAnsi="LindeDaxOffice Medium"/>
                <w:color w:val="000000"/>
                <w:szCs w:val="20"/>
              </w:rPr>
              <w:t>Documento novo em h</w:t>
            </w:r>
            <w:r w:rsidRPr="006941CF">
              <w:rPr>
                <w:rFonts w:ascii="LindeDaxOffice Medium" w:hAnsi="LindeDaxOffice Medium"/>
                <w:szCs w:val="20"/>
              </w:rPr>
              <w:t>armonização</w:t>
            </w:r>
            <w:r>
              <w:rPr>
                <w:rFonts w:ascii="LindeDaxOffice Medium" w:hAnsi="LindeDaxOffice Medium"/>
                <w:szCs w:val="20"/>
              </w:rPr>
              <w:t xml:space="preserve"> ao</w:t>
            </w:r>
            <w:r w:rsidR="00263225">
              <w:rPr>
                <w:rFonts w:ascii="LindeDaxOffice Medium" w:hAnsi="LindeDaxOffice Medium"/>
                <w:color w:val="000000"/>
                <w:szCs w:val="20"/>
              </w:rPr>
              <w:t xml:space="preserve"> Anexo I da RDC 870/2024</w:t>
            </w:r>
            <w:r w:rsidR="00BE4825">
              <w:rPr>
                <w:rFonts w:ascii="LindeDaxOffice Medium" w:hAnsi="LindeDaxOffice Medium"/>
                <w:color w:val="000000"/>
                <w:szCs w:val="20"/>
              </w:rPr>
              <w:t>,</w:t>
            </w:r>
            <w:r w:rsidR="00AE1927">
              <w:rPr>
                <w:rFonts w:ascii="LindeDaxOffice Medium" w:hAnsi="LindeDaxOffice Medium"/>
                <w:color w:val="000000"/>
                <w:szCs w:val="20"/>
              </w:rPr>
              <w:t xml:space="preserve"> IN 301/2024</w:t>
            </w:r>
            <w:r w:rsidR="00BE4825">
              <w:rPr>
                <w:rFonts w:ascii="LindeDaxOffice Medium" w:hAnsi="LindeDaxOffice Medium"/>
                <w:color w:val="000000"/>
                <w:szCs w:val="20"/>
              </w:rPr>
              <w:t xml:space="preserve"> e </w:t>
            </w:r>
            <w:r w:rsidR="00BE4825" w:rsidRPr="00A86AB7">
              <w:rPr>
                <w:rFonts w:ascii="LindeDaxOffice Medium" w:hAnsi="LindeDaxOffice Medium"/>
              </w:rPr>
              <w:t>CD-28766 Rev 14 – 12/10/2022.</w:t>
            </w:r>
          </w:p>
        </w:tc>
      </w:tr>
    </w:tbl>
    <w:p w14:paraId="3F953B36" w14:textId="77777777" w:rsidR="006C2619" w:rsidRPr="006941CF" w:rsidRDefault="006C2619" w:rsidP="006C2619">
      <w:pPr>
        <w:spacing w:after="0" w:line="240" w:lineRule="auto"/>
        <w:jc w:val="both"/>
        <w:rPr>
          <w:rFonts w:ascii="LindeDaxOffice Medium" w:hAnsi="LindeDaxOffice Medium"/>
          <w:sz w:val="20"/>
          <w:szCs w:val="20"/>
        </w:rPr>
      </w:pPr>
    </w:p>
    <w:p w14:paraId="28C6A2AC" w14:textId="77777777" w:rsidR="002B1414" w:rsidRPr="006941CF" w:rsidRDefault="002B1414" w:rsidP="006C2619">
      <w:pPr>
        <w:autoSpaceDE w:val="0"/>
        <w:autoSpaceDN w:val="0"/>
        <w:adjustRightInd w:val="0"/>
        <w:jc w:val="both"/>
        <w:rPr>
          <w:rFonts w:ascii="LindeDaxOffice Medium" w:hAnsi="LindeDaxOffice Medium"/>
        </w:rPr>
      </w:pPr>
    </w:p>
    <w:sectPr w:rsidR="002B1414" w:rsidRPr="006941CF" w:rsidSect="007A47E8">
      <w:footerReference w:type="default" r:id="rId10"/>
      <w:pgSz w:w="11906" w:h="16838"/>
      <w:pgMar w:top="567" w:right="566" w:bottom="99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02E0F" w14:textId="77777777" w:rsidR="0068413B" w:rsidRDefault="0068413B" w:rsidP="00AC57C5">
      <w:pPr>
        <w:spacing w:after="0" w:line="240" w:lineRule="auto"/>
      </w:pPr>
      <w:r>
        <w:separator/>
      </w:r>
    </w:p>
  </w:endnote>
  <w:endnote w:type="continuationSeparator" w:id="0">
    <w:p w14:paraId="696E813F" w14:textId="77777777" w:rsidR="0068413B" w:rsidRDefault="0068413B" w:rsidP="00AC57C5">
      <w:pPr>
        <w:spacing w:after="0" w:line="240" w:lineRule="auto"/>
      </w:pPr>
      <w:r>
        <w:continuationSeparator/>
      </w:r>
    </w:p>
  </w:endnote>
  <w:endnote w:type="continuationNotice" w:id="1">
    <w:p w14:paraId="5EB66B4D" w14:textId="77777777" w:rsidR="003332B9" w:rsidRDefault="00333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ndeDaxOffice Medium">
    <w:panose1 w:val="020B0600000000020000"/>
    <w:charset w:val="00"/>
    <w:family w:val="swiss"/>
    <w:pitch w:val="variable"/>
    <w:sig w:usb0="800000AF" w:usb1="5000206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415C2" w14:textId="48A8FEF5" w:rsidR="00AC57C5" w:rsidRPr="004B2446" w:rsidRDefault="00942D25" w:rsidP="00942D25">
    <w:pPr>
      <w:pStyle w:val="Footer"/>
      <w:jc w:val="right"/>
    </w:pPr>
    <w:r w:rsidRPr="00FF6AAF">
      <w:rPr>
        <w:sz w:val="18"/>
        <w:szCs w:val="18"/>
      </w:rPr>
      <w:t xml:space="preserve">Verso Certificado </w:t>
    </w:r>
    <w:r w:rsidRPr="004B2446">
      <w:rPr>
        <w:sz w:val="18"/>
        <w:szCs w:val="18"/>
      </w:rPr>
      <w:t>Med</w:t>
    </w:r>
    <w:r w:rsidR="00A16C77" w:rsidRPr="004B2446">
      <w:rPr>
        <w:sz w:val="18"/>
        <w:szCs w:val="18"/>
      </w:rPr>
      <w:t>i</w:t>
    </w:r>
    <w:r w:rsidRPr="004B2446">
      <w:rPr>
        <w:sz w:val="18"/>
        <w:szCs w:val="18"/>
      </w:rPr>
      <w:t xml:space="preserve">Pure </w:t>
    </w:r>
    <w:r w:rsidR="004E793C" w:rsidRPr="004B2446">
      <w:rPr>
        <w:sz w:val="18"/>
        <w:szCs w:val="18"/>
      </w:rPr>
      <w:t xml:space="preserve">- </w:t>
    </w:r>
    <w:r w:rsidR="001F2718" w:rsidRPr="004B2446">
      <w:rPr>
        <w:sz w:val="18"/>
        <w:szCs w:val="18"/>
      </w:rPr>
      <w:t xml:space="preserve">Ficha Técnica - </w:t>
    </w:r>
    <w:r w:rsidR="004E793C" w:rsidRPr="004B2446">
      <w:rPr>
        <w:sz w:val="18"/>
        <w:szCs w:val="18"/>
      </w:rPr>
      <w:t xml:space="preserve">Folheto Informativo </w:t>
    </w:r>
    <w:r w:rsidR="004B2446">
      <w:rPr>
        <w:sz w:val="18"/>
        <w:szCs w:val="18"/>
      </w:rPr>
      <w:t>Óxido Nitroso</w:t>
    </w:r>
    <w:r w:rsidRPr="004B2446">
      <w:rPr>
        <w:sz w:val="18"/>
        <w:szCs w:val="18"/>
      </w:rPr>
      <w:t xml:space="preserve"> Líquido Medicinal</w:t>
    </w:r>
    <w:r w:rsidR="004E793C" w:rsidRPr="004B2446">
      <w:rPr>
        <w:sz w:val="18"/>
        <w:szCs w:val="18"/>
      </w:rPr>
      <w:t xml:space="preserve"> -</w:t>
    </w:r>
    <w:r w:rsidRPr="004B2446">
      <w:rPr>
        <w:sz w:val="18"/>
        <w:szCs w:val="18"/>
      </w:rPr>
      <w:t xml:space="preserve"> Rev 0</w:t>
    </w:r>
    <w:r w:rsidR="004B2446">
      <w:rPr>
        <w:sz w:val="18"/>
        <w:szCs w:val="18"/>
      </w:rPr>
      <w:t>0</w:t>
    </w:r>
    <w:r w:rsidRPr="004B2446">
      <w:rPr>
        <w:sz w:val="18"/>
        <w:szCs w:val="18"/>
      </w:rPr>
      <w:t xml:space="preserve"> – 0</w:t>
    </w:r>
    <w:r w:rsidR="00872229" w:rsidRPr="004B2446">
      <w:rPr>
        <w:sz w:val="18"/>
        <w:szCs w:val="18"/>
      </w:rPr>
      <w:t>6</w:t>
    </w:r>
    <w:r w:rsidRPr="004B2446">
      <w:rPr>
        <w:sz w:val="18"/>
        <w:szCs w:val="18"/>
      </w:rPr>
      <w:t>/202</w:t>
    </w:r>
    <w:r w:rsidR="00872229" w:rsidRPr="004B2446">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4F99" w14:textId="77777777" w:rsidR="0068413B" w:rsidRDefault="0068413B" w:rsidP="00AC57C5">
      <w:pPr>
        <w:spacing w:after="0" w:line="240" w:lineRule="auto"/>
      </w:pPr>
      <w:r>
        <w:separator/>
      </w:r>
    </w:p>
  </w:footnote>
  <w:footnote w:type="continuationSeparator" w:id="0">
    <w:p w14:paraId="36AAE1CC" w14:textId="77777777" w:rsidR="0068413B" w:rsidRDefault="0068413B" w:rsidP="00AC57C5">
      <w:pPr>
        <w:spacing w:after="0" w:line="240" w:lineRule="auto"/>
      </w:pPr>
      <w:r>
        <w:continuationSeparator/>
      </w:r>
    </w:p>
  </w:footnote>
  <w:footnote w:type="continuationNotice" w:id="1">
    <w:p w14:paraId="5C57E405" w14:textId="77777777" w:rsidR="003332B9" w:rsidRDefault="003332B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jTX78C4qFrGPS3L6xHGN9YPGDxsAsSQKoRlqpVNlcsNR5yc42NatwrCPF7EvsUBJXIYLvqYP/3v2swKEU6bVA==" w:salt="UUFDgUwe5lyuMmWVh3LmP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EDC"/>
    <w:rsid w:val="0003609A"/>
    <w:rsid w:val="000412BE"/>
    <w:rsid w:val="000A3863"/>
    <w:rsid w:val="000B075E"/>
    <w:rsid w:val="001528CC"/>
    <w:rsid w:val="001A7BBA"/>
    <w:rsid w:val="001F2718"/>
    <w:rsid w:val="00220C89"/>
    <w:rsid w:val="00263225"/>
    <w:rsid w:val="0026453B"/>
    <w:rsid w:val="002924CA"/>
    <w:rsid w:val="002A2EB7"/>
    <w:rsid w:val="002B1414"/>
    <w:rsid w:val="002E614E"/>
    <w:rsid w:val="00305E97"/>
    <w:rsid w:val="00306017"/>
    <w:rsid w:val="003332B9"/>
    <w:rsid w:val="00340B5D"/>
    <w:rsid w:val="00352C28"/>
    <w:rsid w:val="004250DD"/>
    <w:rsid w:val="004352FE"/>
    <w:rsid w:val="004451BD"/>
    <w:rsid w:val="004677F7"/>
    <w:rsid w:val="004A790D"/>
    <w:rsid w:val="004B2446"/>
    <w:rsid w:val="004B7FBB"/>
    <w:rsid w:val="004D3C08"/>
    <w:rsid w:val="004E51E5"/>
    <w:rsid w:val="004E793C"/>
    <w:rsid w:val="004F54F5"/>
    <w:rsid w:val="00503CF1"/>
    <w:rsid w:val="005245FB"/>
    <w:rsid w:val="005332C8"/>
    <w:rsid w:val="00535ED2"/>
    <w:rsid w:val="00544A98"/>
    <w:rsid w:val="005556AD"/>
    <w:rsid w:val="005B24D1"/>
    <w:rsid w:val="005C0892"/>
    <w:rsid w:val="005D376B"/>
    <w:rsid w:val="006235F4"/>
    <w:rsid w:val="0066382E"/>
    <w:rsid w:val="00670B8E"/>
    <w:rsid w:val="00675F4C"/>
    <w:rsid w:val="0068413B"/>
    <w:rsid w:val="006941CF"/>
    <w:rsid w:val="0069602C"/>
    <w:rsid w:val="006B6032"/>
    <w:rsid w:val="006C2619"/>
    <w:rsid w:val="006E40A3"/>
    <w:rsid w:val="006E699D"/>
    <w:rsid w:val="006F1279"/>
    <w:rsid w:val="006F337A"/>
    <w:rsid w:val="00723672"/>
    <w:rsid w:val="007236D1"/>
    <w:rsid w:val="007952FE"/>
    <w:rsid w:val="007A47E8"/>
    <w:rsid w:val="007D7965"/>
    <w:rsid w:val="007F119C"/>
    <w:rsid w:val="008509DB"/>
    <w:rsid w:val="00872229"/>
    <w:rsid w:val="008C1061"/>
    <w:rsid w:val="008E12CC"/>
    <w:rsid w:val="00912408"/>
    <w:rsid w:val="00941FFB"/>
    <w:rsid w:val="00942D25"/>
    <w:rsid w:val="009D2B92"/>
    <w:rsid w:val="00A167D3"/>
    <w:rsid w:val="00A16C77"/>
    <w:rsid w:val="00A40031"/>
    <w:rsid w:val="00A52024"/>
    <w:rsid w:val="00A72020"/>
    <w:rsid w:val="00AC57C5"/>
    <w:rsid w:val="00AD412C"/>
    <w:rsid w:val="00AD4725"/>
    <w:rsid w:val="00AE1927"/>
    <w:rsid w:val="00B06796"/>
    <w:rsid w:val="00B10900"/>
    <w:rsid w:val="00B122DC"/>
    <w:rsid w:val="00B46DA7"/>
    <w:rsid w:val="00B53F0C"/>
    <w:rsid w:val="00B54D64"/>
    <w:rsid w:val="00B8752D"/>
    <w:rsid w:val="00BE4825"/>
    <w:rsid w:val="00BE70E6"/>
    <w:rsid w:val="00BF1FC7"/>
    <w:rsid w:val="00BF7F26"/>
    <w:rsid w:val="00C241C8"/>
    <w:rsid w:val="00C24EA0"/>
    <w:rsid w:val="00C42B93"/>
    <w:rsid w:val="00C47251"/>
    <w:rsid w:val="00C71EBE"/>
    <w:rsid w:val="00CB4045"/>
    <w:rsid w:val="00CE16DF"/>
    <w:rsid w:val="00D37FF7"/>
    <w:rsid w:val="00D478F0"/>
    <w:rsid w:val="00D57605"/>
    <w:rsid w:val="00D579CD"/>
    <w:rsid w:val="00D82D48"/>
    <w:rsid w:val="00DA5C56"/>
    <w:rsid w:val="00DD0EDC"/>
    <w:rsid w:val="00E03A7B"/>
    <w:rsid w:val="00E4280D"/>
    <w:rsid w:val="00E61AC0"/>
    <w:rsid w:val="00E6573E"/>
    <w:rsid w:val="00E67E4D"/>
    <w:rsid w:val="00E77D3F"/>
    <w:rsid w:val="00EC19C8"/>
    <w:rsid w:val="00EC69AB"/>
    <w:rsid w:val="00EE5E9A"/>
    <w:rsid w:val="00EF39C6"/>
    <w:rsid w:val="00F121ED"/>
    <w:rsid w:val="00F464B1"/>
    <w:rsid w:val="00F61021"/>
    <w:rsid w:val="00F734A3"/>
    <w:rsid w:val="00F93910"/>
    <w:rsid w:val="00FA002B"/>
    <w:rsid w:val="00FA5608"/>
    <w:rsid w:val="00FF21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24B46"/>
  <w14:defaultImageDpi w14:val="0"/>
  <w15:docId w15:val="{1A8B4A21-9C11-4449-A723-9183178DB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57C5"/>
    <w:pPr>
      <w:tabs>
        <w:tab w:val="center" w:pos="4252"/>
        <w:tab w:val="right" w:pos="8504"/>
      </w:tabs>
      <w:spacing w:after="0" w:line="240" w:lineRule="auto"/>
    </w:pPr>
  </w:style>
  <w:style w:type="character" w:customStyle="1" w:styleId="HeaderChar">
    <w:name w:val="Header Char"/>
    <w:basedOn w:val="DefaultParagraphFont"/>
    <w:link w:val="Header"/>
    <w:uiPriority w:val="99"/>
    <w:rsid w:val="00AC57C5"/>
    <w:rPr>
      <w:rFonts w:cs="Times New Roman"/>
    </w:rPr>
  </w:style>
  <w:style w:type="paragraph" w:styleId="Footer">
    <w:name w:val="footer"/>
    <w:basedOn w:val="Normal"/>
    <w:link w:val="FooterChar"/>
    <w:uiPriority w:val="99"/>
    <w:unhideWhenUsed/>
    <w:rsid w:val="00AC57C5"/>
    <w:pPr>
      <w:tabs>
        <w:tab w:val="center" w:pos="4252"/>
        <w:tab w:val="right" w:pos="8504"/>
      </w:tabs>
      <w:spacing w:after="0" w:line="240" w:lineRule="auto"/>
    </w:pPr>
  </w:style>
  <w:style w:type="character" w:customStyle="1" w:styleId="FooterChar">
    <w:name w:val="Footer Char"/>
    <w:basedOn w:val="DefaultParagraphFont"/>
    <w:link w:val="Footer"/>
    <w:uiPriority w:val="99"/>
    <w:rsid w:val="00AC57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55775">
      <w:marLeft w:val="0"/>
      <w:marRight w:val="0"/>
      <w:marTop w:val="0"/>
      <w:marBottom w:val="0"/>
      <w:divBdr>
        <w:top w:val="none" w:sz="0" w:space="0" w:color="auto"/>
        <w:left w:val="none" w:sz="0" w:space="0" w:color="auto"/>
        <w:bottom w:val="none" w:sz="0" w:space="0" w:color="auto"/>
        <w:right w:val="none" w:sz="0" w:space="0" w:color="auto"/>
      </w:divBdr>
    </w:div>
    <w:div w:id="234055776">
      <w:marLeft w:val="0"/>
      <w:marRight w:val="0"/>
      <w:marTop w:val="0"/>
      <w:marBottom w:val="0"/>
      <w:divBdr>
        <w:top w:val="none" w:sz="0" w:space="0" w:color="auto"/>
        <w:left w:val="none" w:sz="0" w:space="0" w:color="auto"/>
        <w:bottom w:val="none" w:sz="0" w:space="0" w:color="auto"/>
        <w:right w:val="none" w:sz="0" w:space="0" w:color="auto"/>
      </w:divBdr>
    </w:div>
    <w:div w:id="1254778924">
      <w:bodyDiv w:val="1"/>
      <w:marLeft w:val="0"/>
      <w:marRight w:val="0"/>
      <w:marTop w:val="0"/>
      <w:marBottom w:val="0"/>
      <w:divBdr>
        <w:top w:val="none" w:sz="0" w:space="0" w:color="auto"/>
        <w:left w:val="none" w:sz="0" w:space="0" w:color="auto"/>
        <w:bottom w:val="none" w:sz="0" w:space="0" w:color="auto"/>
        <w:right w:val="none" w:sz="0" w:space="0" w:color="auto"/>
      </w:divBdr>
    </w:div>
    <w:div w:id="176279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axair Document" ma:contentTypeID="0x0101005332F085960B44D6AE9F21E430192CB90100872A1D93FF673044B244C6FECF66743C" ma:contentTypeVersion="15" ma:contentTypeDescription="Praxair Content Types" ma:contentTypeScope="" ma:versionID="c45bebc04acd77859484e5411a638282">
  <xsd:schema xmlns:xsd="http://www.w3.org/2001/XMLSchema" xmlns:xs="http://www.w3.org/2001/XMLSchema" xmlns:p="http://schemas.microsoft.com/office/2006/metadata/properties" xmlns:ns1="4213deca-91d5-4863-a86b-37f9ba5d141a" xmlns:ns3="http://schemas.microsoft.com/sharepoint/v3/fields" targetNamespace="http://schemas.microsoft.com/office/2006/metadata/properties" ma:root="true" ma:fieldsID="acb979e7e82243b82305d19e93245340" ns1:_="" ns3:_="">
    <xsd:import namespace="4213deca-91d5-4863-a86b-37f9ba5d141a"/>
    <xsd:import namespace="http://schemas.microsoft.com/sharepoint/v3/fields"/>
    <xsd:element name="properties">
      <xsd:complexType>
        <xsd:sequence>
          <xsd:element name="documentManagement">
            <xsd:complexType>
              <xsd:all>
                <xsd:element ref="ns1:Para_x0020_qualifica_x00e7__x00e3_o_x0020__x0028_QI_x0020__x002f__x0020_QO_x0029_" minOccurs="0"/>
                <xsd:element ref="ns1:Normas_x0020_Aplic_x00e1_veis" minOccurs="0"/>
                <xsd:element ref="ns1:Revis_x00e3_o"/>
                <xsd:element ref="ns1:Data" minOccurs="0"/>
                <xsd:element ref="ns1:Status" minOccurs="0"/>
                <xsd:element ref="ns1:QI_x002d_QO" minOccurs="0"/>
                <xsd:element ref="ns3:Confidentiality" minOccurs="0"/>
                <xsd:element ref="ns3:Documen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3deca-91d5-4863-a86b-37f9ba5d141a" elementFormDefault="qualified">
    <xsd:import namespace="http://schemas.microsoft.com/office/2006/documentManagement/types"/>
    <xsd:import namespace="http://schemas.microsoft.com/office/infopath/2007/PartnerControls"/>
    <xsd:element name="Para_x0020_qualifica_x00e7__x00e3_o_x0020__x0028_QI_x0020__x002f__x0020_QO_x0029_" ma:index="0" nillable="true" ma:displayName="Para qualificação (QI / QO)" ma:default="Não" ma:format="RadioButtons" ma:internalName="Para_x0020_qualifica_x00e7__x00e3_o_x0020__x0028_QI_x0020__x002f__x0020_QO_x0029_">
      <xsd:simpleType>
        <xsd:restriction base="dms:Choice">
          <xsd:enumeration value="Não"/>
          <xsd:enumeration value="Sim"/>
        </xsd:restriction>
      </xsd:simpleType>
    </xsd:element>
    <xsd:element name="Normas_x0020_Aplic_x00e1_veis" ma:index="2" nillable="true" ma:displayName="Normas Aplicáveis" ma:internalName="Normas_x0020_Aplic_x00e1_veis">
      <xsd:simpleType>
        <xsd:restriction base="dms:Text">
          <xsd:maxLength value="255"/>
        </xsd:restriction>
      </xsd:simpleType>
    </xsd:element>
    <xsd:element name="Revis_x00e3_o" ma:index="4" ma:displayName="Revisão" ma:internalName="Revis_x00e3_o" ma:readOnly="false">
      <xsd:simpleType>
        <xsd:restriction base="dms:Text">
          <xsd:maxLength value="8"/>
        </xsd:restriction>
      </xsd:simpleType>
    </xsd:element>
    <xsd:element name="Data" ma:index="5" nillable="true" ma:displayName="Data" ma:internalName="Data">
      <xsd:simpleType>
        <xsd:restriction base="dms:Text">
          <xsd:maxLength value="8"/>
        </xsd:restriction>
      </xsd:simpleType>
    </xsd:element>
    <xsd:element name="Status" ma:index="6" nillable="true" ma:displayName="Status" ma:default="Vigente" ma:format="RadioButtons" ma:internalName="Status">
      <xsd:simpleType>
        <xsd:restriction base="dms:Choice">
          <xsd:enumeration value="Vigente"/>
          <xsd:enumeration value="Cancelado"/>
        </xsd:restriction>
      </xsd:simpleType>
    </xsd:element>
    <xsd:element name="QI_x002d_QO" ma:index="7" nillable="true" ma:displayName="QI-QO" ma:default="Não" ma:format="RadioButtons" ma:internalName="QI_x002d_QO">
      <xsd:simpleType>
        <xsd:restriction base="dms:Choice">
          <xsd:enumeration value="Não"/>
          <xsd:enumeration value="Sim"/>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Confidentiality" ma:index="8" nillable="true" ma:displayName="Confidentiality" ma:default="Praxair Internal" ma:description="Indicates whether or not this content may be shared outside Praxair.  Praxair Internal means that the document may not be shared with someone who is not a Praxair employee." ma:hidden="true" ma:internalName="Confidentiality" ma:readOnly="false">
      <xsd:simpleType>
        <xsd:restriction base="dms:Choice">
          <xsd:enumeration value="Praxair Internal"/>
          <xsd:enumeration value="High Confidentiality"/>
          <xsd:enumeration value="Public"/>
        </xsd:restriction>
      </xsd:simpleType>
    </xsd:element>
    <xsd:element name="DocumentDescription" ma:index="14" nillable="true" ma:displayName="Document Description" ma:description="Description of the document, if not obvious from the name.  Limited to 255 characters, including spaces." ma:hidden="true" ma:internalName="DocumentDescription"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Tipo de Conteúdo"/>
        <xsd:element ref="dc:title"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635483159594472183</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635483159594472183</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635483159594472183</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QI_x002d_QO xmlns="4213deca-91d5-4863-a86b-37f9ba5d141a">Não</QI_x002d_QO>
    <Confidentiality xmlns="http://schemas.microsoft.com/sharepoint/v3/fields">Praxair Internal</Confidentiality>
    <Status xmlns="4213deca-91d5-4863-a86b-37f9ba5d141a">Vigente</Status>
    <Normas_x0020_Aplic_x00e1_veis xmlns="4213deca-91d5-4863-a86b-37f9ba5d141a" xsi:nil="true"/>
    <Revis_x00e3_o xmlns="4213deca-91d5-4863-a86b-37f9ba5d141a">00</Revis_x00e3_o>
    <Para_x0020_qualifica_x00e7__x00e3_o_x0020__x0028_QI_x0020__x002f__x0020_QO_x0029_ xmlns="4213deca-91d5-4863-a86b-37f9ba5d141a">Não</Para_x0020_qualifica_x00e7__x00e3_o_x0020__x0028_QI_x0020__x002f__x0020_QO_x0029_>
    <Data xmlns="4213deca-91d5-4863-a86b-37f9ba5d141a">06/2026</Data>
    <DocumentDescription xmlns="http://schemas.microsoft.com/sharepoint/v3/fields" xsi:nil="true"/>
  </documentManagement>
</p:properties>
</file>

<file path=customXml/itemProps1.xml><?xml version="1.0" encoding="utf-8"?>
<ds:datastoreItem xmlns:ds="http://schemas.openxmlformats.org/officeDocument/2006/customXml" ds:itemID="{146AFBE9-530E-49F5-AB8B-5E52B1908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3deca-91d5-4863-a86b-37f9ba5d141a"/>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98659-B735-406F-91AD-699DB0CF9368}">
  <ds:schemaRefs>
    <ds:schemaRef ds:uri="http://schemas.microsoft.com/sharepoint/v3/contenttype/forms"/>
  </ds:schemaRefs>
</ds:datastoreItem>
</file>

<file path=customXml/itemProps3.xml><?xml version="1.0" encoding="utf-8"?>
<ds:datastoreItem xmlns:ds="http://schemas.openxmlformats.org/officeDocument/2006/customXml" ds:itemID="{4972A019-692C-45BF-991D-1A95D2C4F937}">
  <ds:schemaRefs>
    <ds:schemaRef ds:uri="http://schemas.microsoft.com/sharepoint/events"/>
  </ds:schemaRefs>
</ds:datastoreItem>
</file>

<file path=customXml/itemProps4.xml><?xml version="1.0" encoding="utf-8"?>
<ds:datastoreItem xmlns:ds="http://schemas.openxmlformats.org/officeDocument/2006/customXml" ds:itemID="{699E7BBF-BD22-467D-8145-7A52F0D6DAC6}">
  <ds:schemaRefs>
    <ds:schemaRef ds:uri="4213deca-91d5-4863-a86b-37f9ba5d141a"/>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 ds:uri="http://schemas.microsoft.com/sharepoint/v3/field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1020</Words>
  <Characters>5512</Characters>
  <Application>Microsoft Office Word</Application>
  <DocSecurity>12</DocSecurity>
  <Lines>45</Lines>
  <Paragraphs>13</Paragraphs>
  <ScaleCrop>false</ScaleCrop>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Verso Certificado MediPure - Folheto Informativo - Óxido Nitroso Líquido Medicinal</dc:title>
  <dc:subject/>
  <dc:creator>Rodrigo Pires</dc:creator>
  <cp:keywords/>
  <dc:description/>
  <cp:lastModifiedBy>Julia Costa</cp:lastModifiedBy>
  <cp:revision>2</cp:revision>
  <dcterms:created xsi:type="dcterms:W3CDTF">2026-06-17T16:38:00Z</dcterms:created>
  <dcterms:modified xsi:type="dcterms:W3CDTF">2026-06-17T16:38:00Z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0x0101005332F085960B44D6AE9F21E430192CB90100872A1D93FF673044B244C6FECF66743C</vt:lpwstr>
  </property>
  <property fmtid="{D5CDD505-2E9C-101B-9397-08002B2CF9AE}" pid="3" name="MediaServiceImageTags">
    <vt:lpwstr/>
  </property>
</Properties>
</file>